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6B9" w:rsidRPr="00814FCE" w:rsidRDefault="009B66B9" w:rsidP="009B66B9">
      <w:pPr>
        <w:pStyle w:val="Akti"/>
      </w:pPr>
      <w:bookmarkStart w:id="0" w:name="_GoBack"/>
      <w:bookmarkEnd w:id="0"/>
      <w:r w:rsidRPr="00814FCE">
        <w:t>A k t n o r m a t i v</w:t>
      </w:r>
    </w:p>
    <w:p w:rsidR="009B66B9" w:rsidRPr="00814FCE" w:rsidRDefault="009B66B9" w:rsidP="009B66B9">
      <w:pPr>
        <w:pStyle w:val="NumriData"/>
      </w:pPr>
      <w:r w:rsidRPr="00814FCE">
        <w:t>Nr.3, datë 27.4.2001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Titulli"/>
      </w:pPr>
      <w:r w:rsidRPr="00814FCE">
        <w:t xml:space="preserve">Për një ndryshim në ligjin nr. 8339, datë 30.4.1998 “Për krijimin e agjencisë së trajtimit të kredive”, ndryshuar me ligjin nr.8584, </w:t>
      </w:r>
    </w:p>
    <w:p w:rsidR="009B66B9" w:rsidRPr="00814FCE" w:rsidRDefault="009B66B9" w:rsidP="009B66B9">
      <w:pPr>
        <w:pStyle w:val="Titulli"/>
      </w:pPr>
      <w:r w:rsidRPr="00814FCE">
        <w:t>datë 15.3.2000</w:t>
      </w:r>
    </w:p>
    <w:p w:rsidR="009B66B9" w:rsidRPr="00814FCE" w:rsidRDefault="009B66B9" w:rsidP="009B66B9">
      <w:pPr>
        <w:pStyle w:val="Titulli"/>
      </w:pPr>
      <w:r>
        <w:tab/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BazLigjPropozues"/>
      </w:pPr>
      <w:r w:rsidRPr="00814FCE">
        <w:t>Në mbështetje të nenit 101 të Kushtetutës, me propozimin e Ministrit të Financave, Këshilli i Ministrave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VENDOSI"/>
      </w:pPr>
      <w:r w:rsidRPr="00814FCE">
        <w:t>V e n d o s i: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Akti"/>
      </w:pPr>
      <w:r w:rsidRPr="00814FCE">
        <w:t>Neni 1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Paragrafi"/>
      </w:pPr>
      <w:r w:rsidRPr="00814FCE">
        <w:t>Në ligjin nr.8339, datë 30.4.1998, fjalia e fundit e nenit 2 ndryshon si më poshtë vijon:</w:t>
      </w:r>
    </w:p>
    <w:p w:rsidR="009B66B9" w:rsidRPr="00814FCE" w:rsidRDefault="009B66B9" w:rsidP="009B66B9">
      <w:pPr>
        <w:pStyle w:val="Paragrafi"/>
      </w:pPr>
      <w:r w:rsidRPr="00814FCE">
        <w:t>“Afati i veprimtarisë së Agjencisë së Trajtimit të Kredive mbaron në datën 31.12.2001.”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Akti"/>
      </w:pPr>
      <w:r w:rsidRPr="00814FCE">
        <w:t>Neni 2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Paragrafi"/>
      </w:pPr>
      <w:r w:rsidRPr="00814FCE">
        <w:t>Ky aktnormativ hyn në fuqi menjëherë.</w:t>
      </w:r>
    </w:p>
    <w:p w:rsidR="009B66B9" w:rsidRPr="00814FCE" w:rsidRDefault="009B66B9" w:rsidP="009B66B9">
      <w:pPr>
        <w:pStyle w:val="Paragrafi"/>
      </w:pPr>
    </w:p>
    <w:p w:rsidR="009B66B9" w:rsidRPr="00814FCE" w:rsidRDefault="009B66B9" w:rsidP="009B66B9">
      <w:pPr>
        <w:pStyle w:val="Autoriteti"/>
      </w:pPr>
      <w:r w:rsidRPr="00814FCE">
        <w:t>Kryeministri</w:t>
      </w:r>
    </w:p>
    <w:p w:rsidR="009B66B9" w:rsidRPr="00814FCE" w:rsidRDefault="009B66B9" w:rsidP="009B66B9">
      <w:pPr>
        <w:pStyle w:val="AutoritetiEmer"/>
      </w:pPr>
      <w:r w:rsidRPr="00814FCE">
        <w:t>Ilir Meta</w:t>
      </w:r>
    </w:p>
    <w:p w:rsidR="009B66B9" w:rsidRPr="00814FCE" w:rsidRDefault="009B66B9" w:rsidP="009B66B9">
      <w:pPr>
        <w:pStyle w:val="Paragrafi"/>
      </w:pPr>
    </w:p>
    <w:p w:rsidR="00A0784B" w:rsidRPr="007732C8" w:rsidRDefault="009B66B9" w:rsidP="003F117B">
      <w:pPr>
        <w:pStyle w:val="Paragrafi"/>
      </w:pPr>
      <w:r w:rsidRPr="00814FCE">
        <w:t>Miratuar me ligjin nr.8797, datë 14.5.2001 të Kuvendit, të shpallur me dekretin nr. 3032, datë 24.5.2001 të Presidenit të Republikës 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3F117B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484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B66B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5C183C-C2C0-45ED-BF84-797A83CF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6B9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