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FC8" w:rsidRDefault="001D2FC8" w:rsidP="001D2FC8">
      <w:pPr>
        <w:pStyle w:val="Akti"/>
      </w:pPr>
      <w:bookmarkStart w:id="0" w:name="_GoBack"/>
      <w:bookmarkEnd w:id="0"/>
      <w:r>
        <w:t>AKTNORMATIV</w:t>
      </w:r>
    </w:p>
    <w:p w:rsidR="001D2FC8" w:rsidRDefault="001D2FC8" w:rsidP="001D2FC8">
      <w:pPr>
        <w:pStyle w:val="NumriData"/>
      </w:pPr>
      <w:r>
        <w:t>Nr.2, datë 27.11.2006</w:t>
      </w:r>
    </w:p>
    <w:p w:rsidR="001D2FC8" w:rsidRDefault="001D2FC8" w:rsidP="001D2FC8">
      <w:pPr>
        <w:pStyle w:val="Paragrafi"/>
      </w:pPr>
    </w:p>
    <w:p w:rsidR="001D2FC8" w:rsidRDefault="001D2FC8" w:rsidP="001D2FC8">
      <w:pPr>
        <w:pStyle w:val="Titulli"/>
      </w:pPr>
      <w:r>
        <w:t>PËR DISA NDRYSHIME NË LIGJIN NR. 9464, DATË 28.12.2005 “PËR BUXHETIN E SHTETIT TË VITIT 2006”, TË NDRYSHUAR</w:t>
      </w:r>
    </w:p>
    <w:p w:rsidR="001D2FC8" w:rsidRDefault="001D2FC8" w:rsidP="001D2FC8">
      <w:pPr>
        <w:pStyle w:val="Paragrafi"/>
      </w:pPr>
    </w:p>
    <w:p w:rsidR="001D2FC8" w:rsidRPr="002D7AC2" w:rsidRDefault="001D2FC8" w:rsidP="001D2FC8">
      <w:pPr>
        <w:pStyle w:val="BazLigjPropozues"/>
        <w:rPr>
          <w:lang w:val="it-IT"/>
        </w:rPr>
      </w:pPr>
      <w:r w:rsidRPr="002D7AC2">
        <w:rPr>
          <w:lang w:val="it-IT"/>
        </w:rPr>
        <w:t>Në mbështetje të nenit 101 të Kushtetutes, me propozimin e Ministrit të Financave, Këshilli i Ministrave</w:t>
      </w:r>
    </w:p>
    <w:p w:rsidR="001D2FC8" w:rsidRPr="002D7AC2" w:rsidRDefault="001D2FC8" w:rsidP="001D2FC8">
      <w:pPr>
        <w:pStyle w:val="Paragrafi"/>
        <w:rPr>
          <w:lang w:val="it-IT"/>
        </w:rPr>
      </w:pPr>
    </w:p>
    <w:p w:rsidR="001D2FC8" w:rsidRPr="002D7AC2" w:rsidRDefault="001D2FC8" w:rsidP="001D2FC8">
      <w:pPr>
        <w:pStyle w:val="VENDOSI"/>
        <w:rPr>
          <w:lang w:val="it-IT"/>
        </w:rPr>
      </w:pPr>
      <w:r w:rsidRPr="002D7AC2">
        <w:rPr>
          <w:lang w:val="it-IT"/>
        </w:rPr>
        <w:t>Vendosi</w:t>
      </w:r>
      <w:r>
        <w:rPr>
          <w:lang w:val="it-IT"/>
        </w:rPr>
        <w:t>:</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Në ligjin nr.9464, datë</w:t>
      </w:r>
      <w:r>
        <w:rPr>
          <w:lang w:val="it-IT"/>
        </w:rPr>
        <w:t xml:space="preserve"> 28.12.2005</w:t>
      </w:r>
      <w:r w:rsidRPr="002D7AC2">
        <w:rPr>
          <w:lang w:val="it-IT"/>
        </w:rPr>
        <w:t xml:space="preserve"> “Pë</w:t>
      </w:r>
      <w:r>
        <w:rPr>
          <w:lang w:val="it-IT"/>
        </w:rPr>
        <w:t>r B</w:t>
      </w:r>
      <w:r w:rsidRPr="002D7AC2">
        <w:rPr>
          <w:lang w:val="it-IT"/>
        </w:rPr>
        <w:t>uxh</w:t>
      </w:r>
      <w:r>
        <w:rPr>
          <w:lang w:val="it-IT"/>
        </w:rPr>
        <w:t>etin e Shtetit</w:t>
      </w:r>
      <w:r w:rsidRPr="002D7AC2">
        <w:rPr>
          <w:lang w:val="it-IT"/>
        </w:rPr>
        <w:t xml:space="preserve"> të vitit 2006”, të ndryshuar, të bëhen këto ndryshime:</w:t>
      </w: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1</w:t>
      </w:r>
    </w:p>
    <w:p w:rsidR="001D2FC8" w:rsidRPr="002D7AC2" w:rsidRDefault="001D2FC8" w:rsidP="001D2FC8">
      <w:pPr>
        <w:pStyle w:val="Paragrafi"/>
        <w:rPr>
          <w:lang w:val="it-IT"/>
        </w:rPr>
      </w:pPr>
    </w:p>
    <w:p w:rsidR="001D2FC8" w:rsidRPr="002D7AC2" w:rsidRDefault="001D2FC8" w:rsidP="001D2FC8">
      <w:pPr>
        <w:pStyle w:val="Paragrafi"/>
        <w:rPr>
          <w:lang w:val="it-IT"/>
        </w:rPr>
      </w:pPr>
      <w:r>
        <w:rPr>
          <w:lang w:val="it-IT"/>
        </w:rPr>
        <w:t>Neni 1 ndry</w:t>
      </w:r>
      <w:r w:rsidRPr="002D7AC2">
        <w:rPr>
          <w:lang w:val="it-IT"/>
        </w:rPr>
        <w:t>shohet, si më poshtë vijon:</w:t>
      </w: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1</w:t>
      </w:r>
    </w:p>
    <w:p w:rsidR="001D2FC8" w:rsidRPr="002D7AC2" w:rsidRDefault="001D2FC8" w:rsidP="001D2FC8">
      <w:pPr>
        <w:pStyle w:val="Paragrafi"/>
        <w:rPr>
          <w:lang w:val="it-IT"/>
        </w:rPr>
      </w:pPr>
    </w:p>
    <w:p w:rsidR="001D2FC8" w:rsidRPr="002D7AC2" w:rsidRDefault="001D2FC8" w:rsidP="001D2FC8">
      <w:pPr>
        <w:pStyle w:val="Paragrafi"/>
        <w:rPr>
          <w:lang w:val="it-IT"/>
        </w:rPr>
      </w:pPr>
      <w:r>
        <w:rPr>
          <w:lang w:val="it-IT"/>
        </w:rPr>
        <w:t>Buxheti i S</w:t>
      </w:r>
      <w:r w:rsidRPr="002D7AC2">
        <w:rPr>
          <w:lang w:val="it-IT"/>
        </w:rPr>
        <w:t>htetit, për vitin 2006, është:</w:t>
      </w:r>
    </w:p>
    <w:p w:rsidR="001D2FC8" w:rsidRPr="002D7AC2" w:rsidRDefault="001D2FC8" w:rsidP="001D2FC8">
      <w:pPr>
        <w:pStyle w:val="Paragrafi"/>
        <w:rPr>
          <w:lang w:val="it-IT"/>
        </w:rPr>
      </w:pPr>
      <w:r w:rsidRPr="002D7AC2">
        <w:rPr>
          <w:lang w:val="it-IT"/>
        </w:rPr>
        <w:t>Të ardhurat</w:t>
      </w:r>
      <w:r w:rsidRPr="002D7AC2">
        <w:rPr>
          <w:lang w:val="it-IT"/>
        </w:rPr>
        <w:tab/>
      </w:r>
      <w:r w:rsidRPr="002D7AC2">
        <w:rPr>
          <w:lang w:val="it-IT"/>
        </w:rPr>
        <w:tab/>
        <w:t xml:space="preserve">229 932 </w:t>
      </w:r>
      <w:r w:rsidRPr="002D7AC2">
        <w:rPr>
          <w:lang w:val="it-IT"/>
        </w:rPr>
        <w:tab/>
        <w:t>milionë lekë;</w:t>
      </w:r>
    </w:p>
    <w:p w:rsidR="001D2FC8" w:rsidRPr="002D7AC2" w:rsidRDefault="001D2FC8" w:rsidP="001D2FC8">
      <w:pPr>
        <w:pStyle w:val="Paragrafi"/>
        <w:rPr>
          <w:lang w:val="it-IT"/>
        </w:rPr>
      </w:pPr>
      <w:r w:rsidRPr="002D7AC2">
        <w:rPr>
          <w:lang w:val="it-IT"/>
        </w:rPr>
        <w:t>Shpenzimet</w:t>
      </w:r>
      <w:r w:rsidRPr="002D7AC2">
        <w:rPr>
          <w:lang w:val="it-IT"/>
        </w:rPr>
        <w:tab/>
      </w:r>
      <w:r w:rsidRPr="002D7AC2">
        <w:rPr>
          <w:lang w:val="it-IT"/>
        </w:rPr>
        <w:tab/>
        <w:t xml:space="preserve">266 951 </w:t>
      </w:r>
      <w:r w:rsidRPr="002D7AC2">
        <w:rPr>
          <w:lang w:val="it-IT"/>
        </w:rPr>
        <w:tab/>
        <w:t>milionë lekë;</w:t>
      </w:r>
    </w:p>
    <w:p w:rsidR="001D2FC8" w:rsidRPr="0091273D" w:rsidRDefault="001D2FC8" w:rsidP="001D2FC8">
      <w:pPr>
        <w:pStyle w:val="Paragrafi"/>
        <w:rPr>
          <w:lang w:val="it-IT"/>
        </w:rPr>
      </w:pPr>
      <w:r w:rsidRPr="0091273D">
        <w:rPr>
          <w:lang w:val="it-IT"/>
        </w:rPr>
        <w:t>Deficiti</w:t>
      </w:r>
      <w:r w:rsidRPr="0091273D">
        <w:rPr>
          <w:lang w:val="it-IT"/>
        </w:rPr>
        <w:tab/>
      </w:r>
      <w:r w:rsidRPr="0091273D">
        <w:rPr>
          <w:lang w:val="it-IT"/>
        </w:rPr>
        <w:tab/>
      </w:r>
      <w:r w:rsidRPr="0091273D">
        <w:rPr>
          <w:lang w:val="it-IT"/>
        </w:rPr>
        <w:tab/>
        <w:t xml:space="preserve">  37019</w:t>
      </w:r>
      <w:r w:rsidRPr="0091273D">
        <w:rPr>
          <w:lang w:val="it-IT"/>
        </w:rPr>
        <w:tab/>
        <w:t xml:space="preserve"> </w:t>
      </w:r>
      <w:r w:rsidRPr="0091273D">
        <w:rPr>
          <w:lang w:val="it-IT"/>
        </w:rPr>
        <w:tab/>
        <w:t>milionë lekë.</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Buxheti i Shtetit përbëhet nga fondi i konsoliduar, buxheti i sigurimeve shoqërore dhe buxheti i sigurimeve shëndetësore.”.</w:t>
      </w:r>
    </w:p>
    <w:p w:rsidR="001D2FC8" w:rsidRPr="0091273D" w:rsidRDefault="001D2FC8" w:rsidP="001D2FC8">
      <w:pPr>
        <w:pStyle w:val="Paragrafi"/>
        <w:rPr>
          <w:lang w:val="it-IT"/>
        </w:rPr>
      </w:pPr>
    </w:p>
    <w:p w:rsidR="001D2FC8" w:rsidRPr="002D7AC2" w:rsidRDefault="001D2FC8" w:rsidP="001D2FC8">
      <w:pPr>
        <w:pStyle w:val="NeniNr"/>
        <w:rPr>
          <w:lang w:val="it-IT"/>
        </w:rPr>
      </w:pPr>
      <w:r w:rsidRPr="002D7AC2">
        <w:rPr>
          <w:lang w:val="it-IT"/>
        </w:rPr>
        <w:t>Neni 2</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2 ndryshohet, si më poshtë vijon:</w:t>
      </w: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2</w:t>
      </w:r>
    </w:p>
    <w:p w:rsidR="001D2FC8" w:rsidRPr="002D7AC2" w:rsidRDefault="001D2FC8" w:rsidP="001D2FC8">
      <w:pPr>
        <w:pStyle w:val="Paragrafi"/>
        <w:rPr>
          <w:lang w:val="it-IT"/>
        </w:rPr>
      </w:pPr>
    </w:p>
    <w:p w:rsidR="001D2FC8" w:rsidRDefault="001D2FC8" w:rsidP="001D2FC8">
      <w:pPr>
        <w:pStyle w:val="Paragrafi"/>
        <w:rPr>
          <w:lang w:val="it-IT"/>
        </w:rPr>
      </w:pPr>
      <w:r w:rsidRPr="002D7AC2">
        <w:rPr>
          <w:lang w:val="it-IT"/>
        </w:rPr>
        <w:t>A.  Fondi i</w:t>
      </w:r>
      <w:r>
        <w:rPr>
          <w:lang w:val="it-IT"/>
        </w:rPr>
        <w:t xml:space="preserve"> konsoliduar, pë</w:t>
      </w:r>
      <w:r w:rsidRPr="002D7AC2">
        <w:rPr>
          <w:lang w:val="it-IT"/>
        </w:rPr>
        <w:t>r vitin 2006, është:</w:t>
      </w:r>
    </w:p>
    <w:p w:rsidR="001D2FC8" w:rsidRPr="002D7AC2" w:rsidRDefault="001D2FC8" w:rsidP="001D2FC8">
      <w:pPr>
        <w:pStyle w:val="Paragrafi"/>
        <w:ind w:left="720"/>
        <w:rPr>
          <w:lang w:val="it-IT"/>
        </w:rPr>
      </w:pPr>
      <w:r w:rsidRPr="002D7AC2">
        <w:rPr>
          <w:lang w:val="it-IT"/>
        </w:rPr>
        <w:t>Të ardhurat</w:t>
      </w:r>
      <w:r w:rsidRPr="002D7AC2">
        <w:rPr>
          <w:lang w:val="it-IT"/>
        </w:rPr>
        <w:tab/>
        <w:t xml:space="preserve">192 632 </w:t>
      </w:r>
      <w:r w:rsidRPr="002D7AC2">
        <w:rPr>
          <w:lang w:val="it-IT"/>
        </w:rPr>
        <w:tab/>
        <w:t>milionë lekë;</w:t>
      </w:r>
    </w:p>
    <w:p w:rsidR="001D2FC8" w:rsidRPr="002D7AC2" w:rsidRDefault="001D2FC8" w:rsidP="001D2FC8">
      <w:pPr>
        <w:pStyle w:val="Paragrafi"/>
        <w:ind w:left="720"/>
        <w:rPr>
          <w:lang w:val="it-IT"/>
        </w:rPr>
      </w:pPr>
      <w:r w:rsidRPr="002D7AC2">
        <w:rPr>
          <w:lang w:val="it-IT"/>
        </w:rPr>
        <w:t>Shpenzimet</w:t>
      </w:r>
      <w:r w:rsidRPr="002D7AC2">
        <w:rPr>
          <w:lang w:val="it-IT"/>
        </w:rPr>
        <w:tab/>
        <w:t xml:space="preserve">229 651 </w:t>
      </w:r>
      <w:r w:rsidRPr="002D7AC2">
        <w:rPr>
          <w:lang w:val="it-IT"/>
        </w:rPr>
        <w:tab/>
        <w:t>milionë lekë;</w:t>
      </w:r>
    </w:p>
    <w:p w:rsidR="001D2FC8" w:rsidRPr="002D7AC2" w:rsidRDefault="001D2FC8" w:rsidP="001D2FC8">
      <w:pPr>
        <w:pStyle w:val="Paragrafi"/>
        <w:ind w:left="720"/>
        <w:rPr>
          <w:lang w:val="it-IT"/>
        </w:rPr>
      </w:pPr>
      <w:r w:rsidRPr="002D7AC2">
        <w:rPr>
          <w:lang w:val="it-IT"/>
        </w:rPr>
        <w:t>Deficiti</w:t>
      </w:r>
      <w:r w:rsidRPr="002D7AC2">
        <w:rPr>
          <w:lang w:val="it-IT"/>
        </w:rPr>
        <w:tab/>
      </w:r>
      <w:r w:rsidRPr="002D7AC2">
        <w:rPr>
          <w:lang w:val="it-IT"/>
        </w:rPr>
        <w:tab/>
        <w:t xml:space="preserve"> 37 019</w:t>
      </w:r>
      <w:r w:rsidRPr="002D7AC2">
        <w:rPr>
          <w:lang w:val="it-IT"/>
        </w:rPr>
        <w:tab/>
      </w:r>
      <w:r w:rsidRPr="002D7AC2">
        <w:rPr>
          <w:lang w:val="it-IT"/>
        </w:rPr>
        <w:tab/>
        <w:t>milionë lekë;</w:t>
      </w:r>
    </w:p>
    <w:p w:rsidR="001D2FC8" w:rsidRPr="002D7AC2" w:rsidRDefault="001D2FC8" w:rsidP="001D2FC8">
      <w:pPr>
        <w:pStyle w:val="Paragrafi"/>
        <w:ind w:left="720"/>
        <w:rPr>
          <w:lang w:val="it-IT"/>
        </w:rPr>
      </w:pPr>
      <w:r w:rsidRPr="002D7AC2">
        <w:rPr>
          <w:lang w:val="it-IT"/>
        </w:rPr>
        <w:t>Fondi i konsoliduar përbëhet:</w:t>
      </w:r>
    </w:p>
    <w:p w:rsidR="001D2FC8" w:rsidRPr="002D7AC2" w:rsidRDefault="001D2FC8" w:rsidP="001D2FC8">
      <w:pPr>
        <w:pStyle w:val="Paragrafi"/>
        <w:rPr>
          <w:lang w:val="it-IT"/>
        </w:rPr>
      </w:pPr>
      <w:r w:rsidRPr="002D7AC2">
        <w:rPr>
          <w:lang w:val="it-IT"/>
        </w:rPr>
        <w:t>A.1  Buxheti qendror:</w:t>
      </w:r>
    </w:p>
    <w:p w:rsidR="001D2FC8" w:rsidRPr="002D7AC2" w:rsidRDefault="001D2FC8" w:rsidP="001D2FC8">
      <w:pPr>
        <w:pStyle w:val="Paragrafi"/>
        <w:ind w:left="720"/>
        <w:rPr>
          <w:lang w:val="it-IT"/>
        </w:rPr>
      </w:pPr>
      <w:r w:rsidRPr="002D7AC2">
        <w:rPr>
          <w:lang w:val="it-IT"/>
        </w:rPr>
        <w:t>Të ardhurat</w:t>
      </w:r>
      <w:r w:rsidRPr="002D7AC2">
        <w:rPr>
          <w:lang w:val="it-IT"/>
        </w:rPr>
        <w:tab/>
        <w:t>181 532</w:t>
      </w:r>
      <w:r w:rsidRPr="002D7AC2">
        <w:rPr>
          <w:lang w:val="it-IT"/>
        </w:rPr>
        <w:tab/>
        <w:t>milionë lekë;</w:t>
      </w:r>
    </w:p>
    <w:p w:rsidR="001D2FC8" w:rsidRPr="0091273D" w:rsidRDefault="001D2FC8" w:rsidP="001D2FC8">
      <w:pPr>
        <w:pStyle w:val="Paragrafi"/>
        <w:ind w:left="720"/>
        <w:rPr>
          <w:lang w:val="it-IT"/>
        </w:rPr>
      </w:pPr>
      <w:r w:rsidRPr="0091273D">
        <w:rPr>
          <w:lang w:val="it-IT"/>
        </w:rPr>
        <w:t>Shpenzimet</w:t>
      </w:r>
      <w:r w:rsidRPr="0091273D">
        <w:rPr>
          <w:lang w:val="it-IT"/>
        </w:rPr>
        <w:tab/>
        <w:t>218 551</w:t>
      </w:r>
      <w:r w:rsidRPr="0091273D">
        <w:rPr>
          <w:lang w:val="it-IT"/>
        </w:rPr>
        <w:tab/>
        <w:t>milionë lekë;</w:t>
      </w:r>
    </w:p>
    <w:p w:rsidR="001D2FC8" w:rsidRPr="0027085D" w:rsidRDefault="001D2FC8" w:rsidP="001D2FC8">
      <w:pPr>
        <w:pStyle w:val="Paragrafi"/>
        <w:rPr>
          <w:lang w:val="it-IT"/>
        </w:rPr>
      </w:pPr>
      <w:r w:rsidRPr="0027085D">
        <w:rPr>
          <w:lang w:val="it-IT"/>
        </w:rPr>
        <w:t>A.2  Buxheti i pushtetit vendor:</w:t>
      </w:r>
    </w:p>
    <w:p w:rsidR="001D2FC8" w:rsidRPr="002D7AC2" w:rsidRDefault="001D2FC8" w:rsidP="001D2FC8">
      <w:pPr>
        <w:pStyle w:val="Paragrafi"/>
        <w:ind w:left="720"/>
        <w:rPr>
          <w:lang w:val="it-IT"/>
        </w:rPr>
      </w:pPr>
      <w:r w:rsidRPr="002D7AC2">
        <w:rPr>
          <w:lang w:val="it-IT"/>
        </w:rPr>
        <w:t>Të ardhurat</w:t>
      </w:r>
      <w:r w:rsidRPr="002D7AC2">
        <w:rPr>
          <w:lang w:val="it-IT"/>
        </w:rPr>
        <w:tab/>
        <w:t>23 100</w:t>
      </w:r>
      <w:r w:rsidRPr="002D7AC2">
        <w:rPr>
          <w:lang w:val="it-IT"/>
        </w:rPr>
        <w:tab/>
        <w:t>milionë lekë;</w:t>
      </w:r>
    </w:p>
    <w:p w:rsidR="001D2FC8" w:rsidRPr="002D7AC2" w:rsidRDefault="001D2FC8" w:rsidP="001D2FC8">
      <w:pPr>
        <w:pStyle w:val="Paragrafi"/>
        <w:ind w:left="720"/>
        <w:rPr>
          <w:lang w:val="it-IT"/>
        </w:rPr>
      </w:pPr>
      <w:r w:rsidRPr="002D7AC2">
        <w:rPr>
          <w:lang w:val="it-IT"/>
        </w:rPr>
        <w:t>Nga të cilat:</w:t>
      </w:r>
    </w:p>
    <w:p w:rsidR="001D2FC8" w:rsidRPr="002D7AC2" w:rsidRDefault="001D2FC8" w:rsidP="001D2FC8">
      <w:pPr>
        <w:pStyle w:val="Paragrafi"/>
        <w:ind w:left="720"/>
        <w:rPr>
          <w:lang w:val="it-IT"/>
        </w:rPr>
      </w:pPr>
      <w:r w:rsidRPr="002D7AC2">
        <w:rPr>
          <w:lang w:val="it-IT"/>
        </w:rPr>
        <w:t>Granti i pakushtëzuar nga buxheti qendror</w:t>
      </w:r>
      <w:r w:rsidRPr="002D7AC2">
        <w:rPr>
          <w:lang w:val="it-IT"/>
        </w:rPr>
        <w:tab/>
        <w:t>8 300</w:t>
      </w:r>
      <w:r w:rsidRPr="002D7AC2">
        <w:rPr>
          <w:lang w:val="it-IT"/>
        </w:rPr>
        <w:tab/>
        <w:t>milionë lekë;</w:t>
      </w:r>
    </w:p>
    <w:p w:rsidR="001D2FC8" w:rsidRPr="002D7AC2" w:rsidRDefault="001D2FC8" w:rsidP="001D2FC8">
      <w:pPr>
        <w:pStyle w:val="Paragrafi"/>
        <w:ind w:left="720"/>
        <w:rPr>
          <w:lang w:val="it-IT"/>
        </w:rPr>
      </w:pPr>
      <w:r w:rsidRPr="002D7AC2">
        <w:rPr>
          <w:lang w:val="it-IT"/>
        </w:rPr>
        <w:t>Granti për investime nga buxheti qendror</w:t>
      </w:r>
      <w:r w:rsidRPr="002D7AC2">
        <w:rPr>
          <w:lang w:val="it-IT"/>
        </w:rPr>
        <w:tab/>
        <w:t>3 700</w:t>
      </w:r>
      <w:r w:rsidRPr="002D7AC2">
        <w:rPr>
          <w:lang w:val="it-IT"/>
        </w:rPr>
        <w:tab/>
        <w:t>milionë</w:t>
      </w:r>
      <w:r>
        <w:rPr>
          <w:lang w:val="it-IT"/>
        </w:rPr>
        <w:t xml:space="preserve"> lekë</w:t>
      </w:r>
      <w:r w:rsidRPr="002D7AC2">
        <w:rPr>
          <w:lang w:val="it-IT"/>
        </w:rPr>
        <w:t>;</w:t>
      </w:r>
    </w:p>
    <w:p w:rsidR="001D2FC8" w:rsidRPr="002D7AC2" w:rsidRDefault="001D2FC8" w:rsidP="001D2FC8">
      <w:pPr>
        <w:pStyle w:val="Paragrafi"/>
        <w:ind w:left="720"/>
        <w:rPr>
          <w:lang w:val="it-IT"/>
        </w:rPr>
      </w:pPr>
      <w:r w:rsidRPr="002D7AC2">
        <w:rPr>
          <w:lang w:val="it-IT"/>
        </w:rPr>
        <w:t>Shpenzimet</w:t>
      </w:r>
      <w:r w:rsidRPr="002D7AC2">
        <w:rPr>
          <w:lang w:val="it-IT"/>
        </w:rPr>
        <w:tab/>
      </w:r>
      <w:r w:rsidRPr="002D7AC2">
        <w:rPr>
          <w:lang w:val="it-IT"/>
        </w:rPr>
        <w:tab/>
      </w:r>
      <w:r w:rsidRPr="002D7AC2">
        <w:rPr>
          <w:lang w:val="it-IT"/>
        </w:rPr>
        <w:tab/>
      </w:r>
      <w:r w:rsidRPr="002D7AC2">
        <w:rPr>
          <w:lang w:val="it-IT"/>
        </w:rPr>
        <w:tab/>
      </w:r>
      <w:r w:rsidRPr="002D7AC2">
        <w:rPr>
          <w:lang w:val="it-IT"/>
        </w:rPr>
        <w:tab/>
        <w:t>23 100</w:t>
      </w:r>
      <w:r w:rsidRPr="002D7AC2">
        <w:rPr>
          <w:lang w:val="it-IT"/>
        </w:rPr>
        <w:tab/>
        <w:t>milionë lekë.”.</w:t>
      </w:r>
    </w:p>
    <w:p w:rsidR="001D2FC8" w:rsidRDefault="001D2FC8" w:rsidP="001D2FC8">
      <w:pPr>
        <w:pStyle w:val="Paragrafi"/>
        <w:rPr>
          <w:lang w:val="it-IT"/>
        </w:rPr>
      </w:pPr>
    </w:p>
    <w:p w:rsidR="001D2FC8" w:rsidRDefault="001D2FC8" w:rsidP="001D2FC8">
      <w:pPr>
        <w:pStyle w:val="Paragrafi"/>
        <w:rPr>
          <w:lang w:val="it-IT"/>
        </w:rPr>
      </w:pPr>
    </w:p>
    <w:p w:rsidR="001D2FC8" w:rsidRDefault="001D2FC8" w:rsidP="001D2FC8">
      <w:pPr>
        <w:pStyle w:val="Paragrafi"/>
        <w:rPr>
          <w:lang w:val="it-IT"/>
        </w:rPr>
      </w:pP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3</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6 ndryshohet, si më poshtë vijon:</w:t>
      </w: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6</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Të ardhurat e fondit të konsoliduar, sipas grupeve kryesore, janë:</w:t>
      </w:r>
    </w:p>
    <w:p w:rsidR="001D2FC8" w:rsidRPr="002D7AC2" w:rsidRDefault="001D2FC8" w:rsidP="001D2FC8">
      <w:pPr>
        <w:pStyle w:val="Paragrafi"/>
        <w:rPr>
          <w:lang w:val="it-IT"/>
        </w:rPr>
      </w:pPr>
      <w:r w:rsidRPr="002D7AC2">
        <w:rPr>
          <w:lang w:val="it-IT"/>
        </w:rPr>
        <w:t>Grantet</w:t>
      </w:r>
      <w:r w:rsidRPr="002D7AC2">
        <w:rPr>
          <w:lang w:val="it-IT"/>
        </w:rPr>
        <w:tab/>
      </w:r>
      <w:r w:rsidRPr="002D7AC2">
        <w:rPr>
          <w:lang w:val="it-IT"/>
        </w:rPr>
        <w:tab/>
      </w:r>
      <w:r w:rsidRPr="002D7AC2">
        <w:rPr>
          <w:lang w:val="it-IT"/>
        </w:rPr>
        <w:tab/>
        <w:t xml:space="preserve">   </w:t>
      </w:r>
      <w:r w:rsidRPr="002D7AC2">
        <w:rPr>
          <w:lang w:val="it-IT"/>
        </w:rPr>
        <w:tab/>
        <w:t xml:space="preserve">   6 000</w:t>
      </w:r>
      <w:r w:rsidRPr="002D7AC2">
        <w:rPr>
          <w:lang w:val="it-IT"/>
        </w:rPr>
        <w:tab/>
      </w:r>
      <w:r w:rsidRPr="002D7AC2">
        <w:rPr>
          <w:lang w:val="it-IT"/>
        </w:rPr>
        <w:tab/>
        <w:t>milionë lekë;</w:t>
      </w:r>
    </w:p>
    <w:p w:rsidR="001D2FC8" w:rsidRPr="002D7AC2" w:rsidRDefault="001D2FC8" w:rsidP="001D2FC8">
      <w:pPr>
        <w:pStyle w:val="Paragrafi"/>
        <w:rPr>
          <w:lang w:val="it-IT"/>
        </w:rPr>
      </w:pPr>
      <w:r w:rsidRPr="002D7AC2">
        <w:rPr>
          <w:lang w:val="it-IT"/>
        </w:rPr>
        <w:t>Të ardhurat tatimore</w:t>
      </w:r>
      <w:r w:rsidRPr="002D7AC2">
        <w:rPr>
          <w:lang w:val="it-IT"/>
        </w:rPr>
        <w:tab/>
      </w:r>
      <w:r w:rsidRPr="002D7AC2">
        <w:rPr>
          <w:lang w:val="it-IT"/>
        </w:rPr>
        <w:tab/>
        <w:t>159 000</w:t>
      </w:r>
      <w:r w:rsidRPr="002D7AC2">
        <w:rPr>
          <w:lang w:val="it-IT"/>
        </w:rPr>
        <w:tab/>
        <w:t>milionë lekë;</w:t>
      </w:r>
    </w:p>
    <w:p w:rsidR="001D2FC8" w:rsidRPr="002D7AC2" w:rsidRDefault="001D2FC8" w:rsidP="001D2FC8">
      <w:pPr>
        <w:pStyle w:val="Paragrafi"/>
        <w:rPr>
          <w:lang w:val="it-IT"/>
        </w:rPr>
      </w:pPr>
      <w:r w:rsidRPr="002D7AC2">
        <w:rPr>
          <w:lang w:val="it-IT"/>
        </w:rPr>
        <w:t>Të ardhurat jotatimore</w:t>
      </w:r>
      <w:r w:rsidRPr="002D7AC2">
        <w:rPr>
          <w:lang w:val="it-IT"/>
        </w:rPr>
        <w:tab/>
      </w:r>
      <w:r w:rsidRPr="002D7AC2">
        <w:rPr>
          <w:lang w:val="it-IT"/>
        </w:rPr>
        <w:tab/>
        <w:t xml:space="preserve">  16 532</w:t>
      </w:r>
      <w:r w:rsidRPr="002D7AC2">
        <w:rPr>
          <w:lang w:val="it-IT"/>
        </w:rPr>
        <w:tab/>
        <w:t>milionë lekë;</w:t>
      </w:r>
    </w:p>
    <w:p w:rsidR="001D2FC8" w:rsidRPr="0027085D" w:rsidRDefault="001D2FC8" w:rsidP="001D2FC8">
      <w:pPr>
        <w:pStyle w:val="Paragrafi"/>
        <w:rPr>
          <w:lang w:val="it-IT"/>
        </w:rPr>
      </w:pPr>
      <w:r w:rsidRPr="0027085D">
        <w:rPr>
          <w:lang w:val="it-IT"/>
        </w:rPr>
        <w:t xml:space="preserve">Të ardhurat e buxhetit vendor </w:t>
      </w:r>
      <w:r w:rsidRPr="0027085D">
        <w:rPr>
          <w:lang w:val="it-IT"/>
        </w:rPr>
        <w:tab/>
        <w:t xml:space="preserve">  11 100 </w:t>
      </w:r>
      <w:r w:rsidRPr="0027085D">
        <w:rPr>
          <w:lang w:val="it-IT"/>
        </w:rPr>
        <w:tab/>
        <w:t>milionë lekë.”.</w:t>
      </w:r>
    </w:p>
    <w:p w:rsidR="001D2FC8" w:rsidRPr="0027085D" w:rsidRDefault="001D2FC8" w:rsidP="001D2FC8">
      <w:pPr>
        <w:pStyle w:val="Paragrafi"/>
        <w:rPr>
          <w:lang w:val="it-IT"/>
        </w:rPr>
      </w:pPr>
    </w:p>
    <w:p w:rsidR="001D2FC8" w:rsidRPr="002D7AC2" w:rsidRDefault="001D2FC8" w:rsidP="001D2FC8">
      <w:pPr>
        <w:pStyle w:val="NeniNr"/>
        <w:rPr>
          <w:lang w:val="it-IT"/>
        </w:rPr>
      </w:pPr>
      <w:r w:rsidRPr="002D7AC2">
        <w:rPr>
          <w:lang w:val="it-IT"/>
        </w:rPr>
        <w:t>Neni 4</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7 ndryshohet, si më poshtë vijon:</w:t>
      </w:r>
    </w:p>
    <w:p w:rsidR="001D2FC8" w:rsidRPr="002D7AC2" w:rsidRDefault="001D2FC8" w:rsidP="001D2FC8">
      <w:pPr>
        <w:pStyle w:val="Paragrafi"/>
        <w:rPr>
          <w:lang w:val="it-IT"/>
        </w:rPr>
      </w:pPr>
    </w:p>
    <w:p w:rsidR="001D2FC8" w:rsidRPr="00095127" w:rsidRDefault="001D2FC8" w:rsidP="001D2FC8">
      <w:pPr>
        <w:pStyle w:val="NeniNr"/>
        <w:rPr>
          <w:lang w:val="it-IT"/>
        </w:rPr>
      </w:pPr>
      <w:r w:rsidRPr="00095127">
        <w:rPr>
          <w:lang w:val="it-IT"/>
        </w:rPr>
        <w:t>“Neni 7</w:t>
      </w:r>
    </w:p>
    <w:p w:rsidR="001D2FC8" w:rsidRPr="00095127" w:rsidRDefault="001D2FC8" w:rsidP="001D2FC8">
      <w:pPr>
        <w:pStyle w:val="Paragrafi"/>
        <w:rPr>
          <w:lang w:val="it-IT"/>
        </w:rPr>
      </w:pPr>
    </w:p>
    <w:p w:rsidR="001D2FC8" w:rsidRPr="00095127" w:rsidRDefault="001D2FC8" w:rsidP="001D2FC8">
      <w:pPr>
        <w:pStyle w:val="Paragrafi"/>
        <w:rPr>
          <w:lang w:val="it-IT"/>
        </w:rPr>
      </w:pPr>
      <w:r w:rsidRPr="00095127">
        <w:rPr>
          <w:lang w:val="it-IT"/>
        </w:rPr>
        <w:t>Kufiri i financimit të deficitit të Buxhetit të</w:t>
      </w:r>
      <w:r>
        <w:rPr>
          <w:lang w:val="it-IT"/>
        </w:rPr>
        <w:t xml:space="preserve"> S</w:t>
      </w:r>
      <w:r w:rsidRPr="00095127">
        <w:rPr>
          <w:lang w:val="it-IT"/>
        </w:rPr>
        <w:t>htetit nga burime të brendshme është</w:t>
      </w:r>
      <w:r>
        <w:rPr>
          <w:lang w:val="it-IT"/>
        </w:rPr>
        <w:t xml:space="preserve"> 26 797 milionë</w:t>
      </w:r>
      <w:r w:rsidRPr="00095127">
        <w:rPr>
          <w:lang w:val="it-IT"/>
        </w:rPr>
        <w:t xml:space="preserve"> lek</w:t>
      </w:r>
      <w:r>
        <w:rPr>
          <w:lang w:val="it-IT"/>
        </w:rPr>
        <w:t>ë, nga i cili 4 000 milionë lekë</w:t>
      </w:r>
      <w:r w:rsidRPr="00095127">
        <w:rPr>
          <w:lang w:val="it-IT"/>
        </w:rPr>
        <w:t xml:space="preserve"> financohen nga të ardhurat e privatizimit.</w:t>
      </w:r>
    </w:p>
    <w:p w:rsidR="001D2FC8" w:rsidRPr="0027085D" w:rsidRDefault="001D2FC8" w:rsidP="001D2FC8">
      <w:pPr>
        <w:pStyle w:val="Paragrafi"/>
        <w:rPr>
          <w:lang w:val="it-IT"/>
        </w:rPr>
      </w:pPr>
      <w:r w:rsidRPr="0091273D">
        <w:rPr>
          <w:lang w:val="it-IT"/>
        </w:rPr>
        <w:t xml:space="preserve">Në rast mosrealizimi të të ardhurave të buxhetit dhe të të ardhurave nga privatizimi, huamarrja për financimin e deficitit të brendshëm prej 22 797 milionë lekësh, nuk ndryshon. </w:t>
      </w:r>
      <w:r w:rsidRPr="0027085D">
        <w:rPr>
          <w:lang w:val="it-IT"/>
        </w:rPr>
        <w:t>Këshilli i Ministrave merr masa për kompensimin e diferencave nga burime suplementare ose nga shkurtimi i shpenzimeve.</w:t>
      </w:r>
    </w:p>
    <w:p w:rsidR="001D2FC8" w:rsidRPr="0027085D" w:rsidRDefault="001D2FC8" w:rsidP="001D2FC8">
      <w:pPr>
        <w:pStyle w:val="Paragrafi"/>
        <w:rPr>
          <w:lang w:val="it-IT"/>
        </w:rPr>
      </w:pPr>
      <w:r w:rsidRPr="0027085D">
        <w:rPr>
          <w:lang w:val="it-IT"/>
        </w:rPr>
        <w:t>Kufiri neto i financimit nga burime të huaja ësht</w:t>
      </w:r>
      <w:r>
        <w:rPr>
          <w:lang w:val="it-IT"/>
        </w:rPr>
        <w:t>ë 10 222 milionë lekë</w:t>
      </w:r>
      <w:r w:rsidRPr="0027085D">
        <w:rPr>
          <w:lang w:val="it-IT"/>
        </w:rPr>
        <w:t>. Ky kufi mund të ndryshojë gjatë vitit, brenda limiteve të për</w:t>
      </w:r>
      <w:r>
        <w:rPr>
          <w:lang w:val="it-IT"/>
        </w:rPr>
        <w:t>caktuara në nenin 16</w:t>
      </w:r>
      <w:r w:rsidRPr="0027085D">
        <w:rPr>
          <w:lang w:val="it-IT"/>
        </w:rPr>
        <w:t xml:space="preserve"> të këtij ligji.”.</w:t>
      </w:r>
    </w:p>
    <w:p w:rsidR="001D2FC8" w:rsidRPr="0027085D" w:rsidRDefault="001D2FC8" w:rsidP="001D2FC8">
      <w:pPr>
        <w:pStyle w:val="Paragrafi"/>
        <w:rPr>
          <w:lang w:val="it-IT"/>
        </w:rPr>
      </w:pPr>
    </w:p>
    <w:p w:rsidR="001D2FC8" w:rsidRPr="002D7AC2" w:rsidRDefault="001D2FC8" w:rsidP="001D2FC8">
      <w:pPr>
        <w:pStyle w:val="NeniNr"/>
        <w:rPr>
          <w:lang w:val="it-IT"/>
        </w:rPr>
      </w:pPr>
      <w:r w:rsidRPr="002D7AC2">
        <w:rPr>
          <w:lang w:val="it-IT"/>
        </w:rPr>
        <w:t>Neni 5</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8 ndryshohet, si më poshtë vijon:</w:t>
      </w:r>
    </w:p>
    <w:p w:rsidR="001D2FC8" w:rsidRPr="002D7AC2" w:rsidRDefault="001D2FC8" w:rsidP="001D2FC8">
      <w:pPr>
        <w:pStyle w:val="Paragrafi"/>
        <w:rPr>
          <w:lang w:val="it-IT"/>
        </w:rPr>
      </w:pPr>
    </w:p>
    <w:p w:rsidR="001D2FC8" w:rsidRPr="002D7AC2" w:rsidRDefault="001D2FC8" w:rsidP="001D2FC8">
      <w:pPr>
        <w:pStyle w:val="NeniNr"/>
        <w:rPr>
          <w:lang w:val="it-IT"/>
        </w:rPr>
      </w:pPr>
      <w:r w:rsidRPr="002D7AC2">
        <w:rPr>
          <w:lang w:val="it-IT"/>
        </w:rPr>
        <w:t>“Neni 8</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Shpenzimet e fondit të konsoliduar, sipas drejtimeve kryesore, janë:</w:t>
      </w:r>
    </w:p>
    <w:p w:rsidR="001D2FC8" w:rsidRPr="002D7AC2" w:rsidRDefault="001D2FC8" w:rsidP="001D2FC8">
      <w:pPr>
        <w:pStyle w:val="Paragrafi"/>
        <w:rPr>
          <w:lang w:val="it-IT"/>
        </w:rPr>
      </w:pPr>
      <w:r w:rsidRPr="002D7AC2">
        <w:rPr>
          <w:lang w:val="it-IT"/>
        </w:rPr>
        <w:t>Shpenzimet korrente</w:t>
      </w:r>
      <w:r w:rsidRPr="002D7AC2">
        <w:rPr>
          <w:lang w:val="it-IT"/>
        </w:rPr>
        <w:tab/>
      </w:r>
      <w:r w:rsidRPr="002D7AC2">
        <w:rPr>
          <w:lang w:val="it-IT"/>
        </w:rPr>
        <w:tab/>
      </w:r>
      <w:r w:rsidRPr="002D7AC2">
        <w:rPr>
          <w:lang w:val="it-IT"/>
        </w:rPr>
        <w:tab/>
        <w:t>163 288</w:t>
      </w:r>
      <w:r w:rsidRPr="002D7AC2">
        <w:rPr>
          <w:lang w:val="it-IT"/>
        </w:rPr>
        <w:tab/>
        <w:t>milionë lekë;</w:t>
      </w:r>
    </w:p>
    <w:p w:rsidR="001D2FC8" w:rsidRPr="002D7AC2" w:rsidRDefault="001D2FC8" w:rsidP="001D2FC8">
      <w:pPr>
        <w:pStyle w:val="Paragrafi"/>
        <w:rPr>
          <w:lang w:val="it-IT"/>
        </w:rPr>
      </w:pPr>
      <w:r w:rsidRPr="002D7AC2">
        <w:rPr>
          <w:lang w:val="it-IT"/>
        </w:rPr>
        <w:t>Shpenzimet kapitale</w:t>
      </w:r>
      <w:r w:rsidRPr="002D7AC2">
        <w:rPr>
          <w:lang w:val="it-IT"/>
        </w:rPr>
        <w:tab/>
      </w:r>
      <w:r w:rsidRPr="002D7AC2">
        <w:rPr>
          <w:lang w:val="it-IT"/>
        </w:rPr>
        <w:tab/>
      </w:r>
      <w:r w:rsidRPr="002D7AC2">
        <w:rPr>
          <w:lang w:val="it-IT"/>
        </w:rPr>
        <w:tab/>
        <w:t xml:space="preserve">  60 963</w:t>
      </w:r>
      <w:r w:rsidRPr="002D7AC2">
        <w:rPr>
          <w:lang w:val="it-IT"/>
        </w:rPr>
        <w:tab/>
        <w:t>milion</w:t>
      </w:r>
      <w:r>
        <w:rPr>
          <w:lang w:val="it-IT"/>
        </w:rPr>
        <w:t>ë le</w:t>
      </w:r>
      <w:r w:rsidRPr="002D7AC2">
        <w:rPr>
          <w:lang w:val="it-IT"/>
        </w:rPr>
        <w:t>kë;</w:t>
      </w:r>
    </w:p>
    <w:p w:rsidR="001D2FC8" w:rsidRPr="002D7AC2" w:rsidRDefault="001D2FC8" w:rsidP="001D2FC8">
      <w:pPr>
        <w:pStyle w:val="Paragrafi"/>
        <w:rPr>
          <w:lang w:val="it-IT"/>
        </w:rPr>
      </w:pPr>
      <w:r w:rsidRPr="002D7AC2">
        <w:rPr>
          <w:lang w:val="it-IT"/>
        </w:rPr>
        <w:t>Rezerva e Këshillit të Ministrave</w:t>
      </w:r>
      <w:r w:rsidRPr="002D7AC2">
        <w:rPr>
          <w:lang w:val="it-IT"/>
        </w:rPr>
        <w:tab/>
        <w:t xml:space="preserve">   2 000</w:t>
      </w:r>
      <w:r w:rsidRPr="002D7AC2">
        <w:rPr>
          <w:lang w:val="it-IT"/>
        </w:rPr>
        <w:tab/>
      </w:r>
      <w:r w:rsidRPr="002D7AC2">
        <w:rPr>
          <w:lang w:val="it-IT"/>
        </w:rPr>
        <w:tab/>
        <w:t>milionë lekë;</w:t>
      </w:r>
    </w:p>
    <w:p w:rsidR="001D2FC8" w:rsidRPr="0091273D" w:rsidRDefault="001D2FC8" w:rsidP="001D2FC8">
      <w:pPr>
        <w:pStyle w:val="Paragrafi"/>
        <w:rPr>
          <w:lang w:val="it-IT"/>
        </w:rPr>
      </w:pPr>
      <w:r w:rsidRPr="0091273D">
        <w:rPr>
          <w:lang w:val="it-IT"/>
        </w:rPr>
        <w:t>Kontingjenca</w:t>
      </w:r>
      <w:r w:rsidRPr="0091273D">
        <w:rPr>
          <w:lang w:val="it-IT"/>
        </w:rPr>
        <w:tab/>
      </w:r>
      <w:r w:rsidRPr="0091273D">
        <w:rPr>
          <w:lang w:val="it-IT"/>
        </w:rPr>
        <w:tab/>
      </w:r>
      <w:r w:rsidRPr="0091273D">
        <w:rPr>
          <w:lang w:val="it-IT"/>
        </w:rPr>
        <w:tab/>
      </w:r>
      <w:r w:rsidRPr="0091273D">
        <w:rPr>
          <w:lang w:val="it-IT"/>
        </w:rPr>
        <w:tab/>
        <w:t xml:space="preserve">   3 400</w:t>
      </w:r>
      <w:r w:rsidRPr="0091273D">
        <w:rPr>
          <w:lang w:val="it-IT"/>
        </w:rPr>
        <w:tab/>
      </w:r>
      <w:r w:rsidRPr="0091273D">
        <w:rPr>
          <w:lang w:val="it-IT"/>
        </w:rPr>
        <w:tab/>
        <w:t>milionë lekë.</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Kufiri i shpenzimeve për ministritë dhe institucionet, i ndarë në fonde, të kushtëzuara dhe të pakushtëzuara, është sipas tabelës 1, që i bashkëlidhet këtij ligji. Për institucionet e pavarura nga Këshilli i Ministrave, kufiri i shpenzimeve, numri i punonjësve dhe fondi i pagave ështe sipas tabelës 1/1, që i bashkëlidhet këtij ligji. Këshilli i Ministrave vendos norma dhe standarde financiare për shpenzimet operative, të cilat janë të detyrueshme për t’u zbatuar nga të gjitha institucionet buxhetore, në varësi ose jo të Këshillit të Ministrave, si dhe për organet e pushtetit vendor. Shpenzimet e pakryera në fund të vitit buxhetor të transferohen në një llogari speciale si transfertë kapitale për t’u përdorur për shpronësimet.”.</w:t>
      </w:r>
    </w:p>
    <w:p w:rsidR="001D2FC8" w:rsidRPr="0091273D" w:rsidRDefault="001D2FC8" w:rsidP="001D2FC8">
      <w:pPr>
        <w:pStyle w:val="Paragrafi"/>
        <w:ind w:firstLine="0"/>
        <w:rPr>
          <w:lang w:val="it-IT"/>
        </w:rPr>
      </w:pPr>
    </w:p>
    <w:p w:rsidR="001D2FC8" w:rsidRPr="002D7AC2" w:rsidRDefault="001D2FC8" w:rsidP="001D2FC8">
      <w:pPr>
        <w:pStyle w:val="NeniNr"/>
        <w:rPr>
          <w:lang w:val="it-IT"/>
        </w:rPr>
      </w:pPr>
      <w:r w:rsidRPr="002D7AC2">
        <w:rPr>
          <w:lang w:val="it-IT"/>
        </w:rPr>
        <w:t>Neni 6</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12 ndryshohet, si më poshtë vijon:</w:t>
      </w:r>
    </w:p>
    <w:p w:rsidR="001D2FC8" w:rsidRPr="002D7AC2" w:rsidRDefault="001D2FC8" w:rsidP="001D2FC8">
      <w:pPr>
        <w:pStyle w:val="Paragrafi"/>
        <w:rPr>
          <w:lang w:val="it-IT"/>
        </w:rPr>
      </w:pPr>
    </w:p>
    <w:p w:rsidR="001D2FC8" w:rsidRPr="0091273D" w:rsidRDefault="001D2FC8" w:rsidP="001D2FC8">
      <w:pPr>
        <w:pStyle w:val="NeniNr"/>
        <w:rPr>
          <w:lang w:val="it-IT"/>
        </w:rPr>
      </w:pPr>
      <w:r w:rsidRPr="0091273D">
        <w:rPr>
          <w:lang w:val="it-IT"/>
        </w:rPr>
        <w:t>“Neni 12</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 xml:space="preserve">Fondi i kontingjencës prej 3 400 milionë lekësh të përdoret: 2 000 milionë lekë, tërësisht ose pjesërisht, për uljen e deficitit dhe 1 400 milionë lekë, me vendim të Keshillit të Ministrave, për detyrimet e ndërsjella të ndërmarrjeve publike. Përdorimi i fondit prej 2 000 milionë lekësh, tërësisht për këtë qëllim, bëhet kur të ardhurat nga burimet e brendshme realizohen sa janë parashikuar në buxhet. Përdorimi pjesërisht bëhet për diferencën ndërmjet fondit të kontigjencës dhe mosrealizimit të </w:t>
      </w:r>
      <w:r w:rsidRPr="0091273D">
        <w:rPr>
          <w:lang w:val="it-IT"/>
        </w:rPr>
        <w:lastRenderedPageBreak/>
        <w:t>të ardhurave, kur mosrealizimi është më i vogël se 2 000 milionë lekë.</w:t>
      </w:r>
    </w:p>
    <w:p w:rsidR="001D2FC8" w:rsidRPr="0091273D" w:rsidRDefault="001D2FC8" w:rsidP="001D2FC8">
      <w:pPr>
        <w:pStyle w:val="Paragrafi"/>
        <w:rPr>
          <w:lang w:val="it-IT"/>
        </w:rPr>
      </w:pPr>
      <w:r w:rsidRPr="0091273D">
        <w:rPr>
          <w:lang w:val="it-IT"/>
        </w:rPr>
        <w:t>Fondi rezervë i Këshillit të Ministrave prej 2 000 milionë lekësh përdoret për raste të paparashikuara me vendim të Këshillit të Ministrave.”.</w:t>
      </w:r>
    </w:p>
    <w:p w:rsidR="001D2FC8" w:rsidRPr="0091273D" w:rsidRDefault="001D2FC8" w:rsidP="001D2FC8">
      <w:pPr>
        <w:pStyle w:val="Paragrafi"/>
        <w:rPr>
          <w:lang w:val="it-IT"/>
        </w:rPr>
      </w:pPr>
    </w:p>
    <w:p w:rsidR="001D2FC8" w:rsidRPr="002D7AC2" w:rsidRDefault="001D2FC8" w:rsidP="001D2FC8">
      <w:pPr>
        <w:pStyle w:val="NeniNr"/>
        <w:rPr>
          <w:lang w:val="it-IT"/>
        </w:rPr>
      </w:pPr>
      <w:r w:rsidRPr="002D7AC2">
        <w:rPr>
          <w:lang w:val="it-IT"/>
        </w:rPr>
        <w:t>Neni 7</w:t>
      </w:r>
    </w:p>
    <w:p w:rsidR="001D2FC8" w:rsidRPr="002D7AC2" w:rsidRDefault="001D2FC8" w:rsidP="001D2FC8">
      <w:pPr>
        <w:pStyle w:val="Paragrafi"/>
        <w:rPr>
          <w:lang w:val="it-IT"/>
        </w:rPr>
      </w:pPr>
    </w:p>
    <w:p w:rsidR="001D2FC8" w:rsidRPr="002D7AC2" w:rsidRDefault="001D2FC8" w:rsidP="001D2FC8">
      <w:pPr>
        <w:pStyle w:val="Paragrafi"/>
        <w:rPr>
          <w:lang w:val="it-IT"/>
        </w:rPr>
      </w:pPr>
      <w:r w:rsidRPr="002D7AC2">
        <w:rPr>
          <w:lang w:val="it-IT"/>
        </w:rPr>
        <w:t>Neni 13 ndryshohet, si më poshtë vijon:</w:t>
      </w:r>
    </w:p>
    <w:p w:rsidR="001D2FC8" w:rsidRPr="002D7AC2" w:rsidRDefault="001D2FC8" w:rsidP="001D2FC8">
      <w:pPr>
        <w:pStyle w:val="Paragrafi"/>
        <w:rPr>
          <w:lang w:val="it-IT"/>
        </w:rPr>
      </w:pPr>
    </w:p>
    <w:p w:rsidR="001D2FC8" w:rsidRPr="00302231" w:rsidRDefault="001D2FC8" w:rsidP="001D2FC8">
      <w:pPr>
        <w:pStyle w:val="NeniNr"/>
        <w:rPr>
          <w:lang w:val="it-IT"/>
        </w:rPr>
      </w:pPr>
      <w:r w:rsidRPr="00302231">
        <w:rPr>
          <w:lang w:val="it-IT"/>
        </w:rPr>
        <w:t>“Neni 13</w:t>
      </w:r>
    </w:p>
    <w:p w:rsidR="001D2FC8" w:rsidRPr="00302231" w:rsidRDefault="001D2FC8" w:rsidP="001D2FC8">
      <w:pPr>
        <w:pStyle w:val="Paragrafi"/>
        <w:rPr>
          <w:lang w:val="it-IT"/>
        </w:rPr>
      </w:pPr>
    </w:p>
    <w:p w:rsidR="001D2FC8" w:rsidRPr="0091273D" w:rsidRDefault="001D2FC8" w:rsidP="001D2FC8">
      <w:pPr>
        <w:pStyle w:val="Paragrafi"/>
        <w:rPr>
          <w:lang w:val="it-IT"/>
        </w:rPr>
      </w:pPr>
      <w:r w:rsidRPr="00302231">
        <w:rPr>
          <w:lang w:val="it-IT"/>
        </w:rPr>
        <w:t>Buxheti i Kuvendit të Republikës së Shqipërisë është 897 milionë lekë, nga të cilat 175 milion</w:t>
      </w:r>
      <w:r>
        <w:rPr>
          <w:lang w:val="it-IT"/>
        </w:rPr>
        <w:t>ë</w:t>
      </w:r>
      <w:r w:rsidRPr="00302231">
        <w:rPr>
          <w:lang w:val="it-IT"/>
        </w:rPr>
        <w:t xml:space="preserve"> lekë investime. </w:t>
      </w:r>
      <w:r w:rsidRPr="0091273D">
        <w:rPr>
          <w:lang w:val="it-IT"/>
        </w:rPr>
        <w:t>Detajimi i fondeve buxhetore bëhet nga Kuvendi në zbatim të ligjit për statusin e deputetit dhe të rregullores së Kuvendit.”.</w:t>
      </w:r>
    </w:p>
    <w:p w:rsidR="001D2FC8" w:rsidRPr="0091273D" w:rsidRDefault="001D2FC8" w:rsidP="001D2FC8">
      <w:pPr>
        <w:pStyle w:val="Paragrafi"/>
        <w:rPr>
          <w:lang w:val="it-IT"/>
        </w:rPr>
      </w:pPr>
    </w:p>
    <w:p w:rsidR="001D2FC8" w:rsidRPr="0091273D" w:rsidRDefault="001D2FC8" w:rsidP="001D2FC8">
      <w:pPr>
        <w:pStyle w:val="NeniNr"/>
        <w:rPr>
          <w:lang w:val="it-IT"/>
        </w:rPr>
      </w:pPr>
      <w:r w:rsidRPr="0091273D">
        <w:rPr>
          <w:lang w:val="it-IT"/>
        </w:rPr>
        <w:t>Neni 8</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Në fund të paragrafit të katërt të nenit 15, shtohet një fjali, me këtë përmbajtje:</w:t>
      </w:r>
    </w:p>
    <w:p w:rsidR="001D2FC8" w:rsidRPr="0027085D" w:rsidRDefault="001D2FC8" w:rsidP="001D2FC8">
      <w:pPr>
        <w:pStyle w:val="Paragrafi"/>
        <w:rPr>
          <w:lang w:val="it-IT"/>
        </w:rPr>
      </w:pPr>
      <w:r w:rsidRPr="0027085D">
        <w:rPr>
          <w:lang w:val="it-IT"/>
        </w:rPr>
        <w:t>“Ministri i Financave ndryshon totalin e fondeve, sipas qarqeve/bashkive, në përputhje me nivelin e realizimit të investimeve.”.</w:t>
      </w:r>
    </w:p>
    <w:p w:rsidR="001D2FC8" w:rsidRPr="0027085D" w:rsidRDefault="001D2FC8" w:rsidP="001D2FC8">
      <w:pPr>
        <w:pStyle w:val="Paragrafi"/>
        <w:rPr>
          <w:lang w:val="it-IT"/>
        </w:rPr>
      </w:pPr>
    </w:p>
    <w:p w:rsidR="001D2FC8" w:rsidRPr="0091273D" w:rsidRDefault="001D2FC8" w:rsidP="001D2FC8">
      <w:pPr>
        <w:pStyle w:val="NeniNr"/>
        <w:rPr>
          <w:lang w:val="it-IT"/>
        </w:rPr>
      </w:pPr>
      <w:r w:rsidRPr="0091273D">
        <w:rPr>
          <w:lang w:val="it-IT"/>
        </w:rPr>
        <w:t>Neni 9</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Në përmbajtjen e neneve 8 e 11, tabelat nr.1, nr.1/1 dhe nr.2 zëvendësohen, përkatësisht, me tabelat nr.l, nr.1/1, dhe nr.2, që i bashkëlidhen këtij akti normativ.</w:t>
      </w:r>
    </w:p>
    <w:p w:rsidR="001D2FC8" w:rsidRPr="0091273D" w:rsidRDefault="001D2FC8" w:rsidP="001D2FC8">
      <w:pPr>
        <w:pStyle w:val="Paragrafi"/>
        <w:rPr>
          <w:lang w:val="it-IT"/>
        </w:rPr>
      </w:pPr>
    </w:p>
    <w:p w:rsidR="001D2FC8" w:rsidRPr="0091273D" w:rsidRDefault="001D2FC8" w:rsidP="001D2FC8">
      <w:pPr>
        <w:pStyle w:val="NeniNr"/>
        <w:rPr>
          <w:lang w:val="it-IT"/>
        </w:rPr>
      </w:pPr>
      <w:r w:rsidRPr="0091273D">
        <w:rPr>
          <w:lang w:val="it-IT"/>
        </w:rPr>
        <w:t>Neni 10</w:t>
      </w:r>
    </w:p>
    <w:p w:rsidR="001D2FC8" w:rsidRPr="0091273D" w:rsidRDefault="001D2FC8" w:rsidP="001D2FC8">
      <w:pPr>
        <w:pStyle w:val="Paragrafi"/>
        <w:rPr>
          <w:lang w:val="it-IT"/>
        </w:rPr>
      </w:pPr>
    </w:p>
    <w:p w:rsidR="001D2FC8" w:rsidRPr="0091273D" w:rsidRDefault="001D2FC8" w:rsidP="001D2FC8">
      <w:pPr>
        <w:pStyle w:val="Paragrafi"/>
        <w:rPr>
          <w:lang w:val="it-IT"/>
        </w:rPr>
      </w:pPr>
      <w:r w:rsidRPr="0091273D">
        <w:rPr>
          <w:lang w:val="it-IT"/>
        </w:rPr>
        <w:t>Ky aktnormativ ka fuqinë e ligjit dhe hyn në fuqi menjëherë.</w:t>
      </w:r>
    </w:p>
    <w:p w:rsidR="001D2FC8" w:rsidRPr="0091273D" w:rsidRDefault="001D2FC8" w:rsidP="001D2FC8">
      <w:pPr>
        <w:pStyle w:val="Paragrafi"/>
        <w:rPr>
          <w:lang w:val="it-IT"/>
        </w:rPr>
      </w:pPr>
    </w:p>
    <w:p w:rsidR="001D2FC8" w:rsidRDefault="001D2FC8" w:rsidP="001D2FC8">
      <w:pPr>
        <w:pStyle w:val="Autoriteti"/>
      </w:pPr>
      <w:r>
        <w:t>Kryeministri</w:t>
      </w:r>
    </w:p>
    <w:p w:rsidR="001D2FC8" w:rsidRDefault="001D2FC8" w:rsidP="001D2FC8">
      <w:pPr>
        <w:pStyle w:val="AutoritetiEmer"/>
      </w:pPr>
      <w:r>
        <w:t>Sali Berisha</w:t>
      </w:r>
    </w:p>
    <w:p w:rsidR="001D2FC8" w:rsidRDefault="001D2FC8" w:rsidP="001D2FC8">
      <w:pPr>
        <w:pStyle w:val="Paragrafi"/>
      </w:pPr>
    </w:p>
    <w:p w:rsidR="001D2FC8" w:rsidRDefault="001D2FC8" w:rsidP="001D2FC8">
      <w:pPr>
        <w:pStyle w:val="Paragrafi"/>
        <w:ind w:firstLine="0"/>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tbl>
      <w:tblPr>
        <w:tblW w:w="5244" w:type="pct"/>
        <w:tblLayout w:type="fixed"/>
        <w:tblLook w:val="0000" w:firstRow="0" w:lastRow="0" w:firstColumn="0" w:lastColumn="0" w:noHBand="0" w:noVBand="0"/>
      </w:tblPr>
      <w:tblGrid>
        <w:gridCol w:w="850"/>
        <w:gridCol w:w="4926"/>
        <w:gridCol w:w="1323"/>
        <w:gridCol w:w="1321"/>
        <w:gridCol w:w="1319"/>
      </w:tblGrid>
      <w:tr w:rsidR="001D2FC8" w:rsidRPr="00400470">
        <w:trPr>
          <w:trHeight w:val="270"/>
        </w:trPr>
        <w:tc>
          <w:tcPr>
            <w:tcW w:w="437" w:type="pct"/>
            <w:tcBorders>
              <w:top w:val="nil"/>
              <w:left w:val="nil"/>
              <w:bottom w:val="nil"/>
              <w:right w:val="nil"/>
            </w:tcBorders>
            <w:shd w:val="clear" w:color="auto" w:fill="auto"/>
            <w:noWrap/>
            <w:vAlign w:val="bottom"/>
          </w:tcPr>
          <w:p w:rsidR="001D2FC8" w:rsidRPr="00400470" w:rsidRDefault="001D2FC8" w:rsidP="001D2FC8">
            <w:pPr>
              <w:pStyle w:val="Tabele"/>
            </w:pPr>
            <w:bookmarkStart w:id="1" w:name="RANGE!A1:E54"/>
            <w:bookmarkEnd w:id="1"/>
            <w:r w:rsidRPr="00400470">
              <w:t>Tab.1</w:t>
            </w:r>
          </w:p>
        </w:tc>
        <w:tc>
          <w:tcPr>
            <w:tcW w:w="2529" w:type="pct"/>
            <w:tcBorders>
              <w:top w:val="nil"/>
              <w:left w:val="nil"/>
              <w:bottom w:val="nil"/>
              <w:right w:val="nil"/>
            </w:tcBorders>
            <w:shd w:val="clear" w:color="auto" w:fill="auto"/>
            <w:noWrap/>
            <w:vAlign w:val="bottom"/>
          </w:tcPr>
          <w:p w:rsidR="001D2FC8" w:rsidRPr="00400470" w:rsidRDefault="001D2FC8" w:rsidP="001D2FC8">
            <w:pPr>
              <w:pStyle w:val="Tabele"/>
            </w:pPr>
          </w:p>
        </w:tc>
        <w:tc>
          <w:tcPr>
            <w:tcW w:w="679" w:type="pct"/>
            <w:tcBorders>
              <w:top w:val="nil"/>
              <w:left w:val="nil"/>
              <w:bottom w:val="nil"/>
              <w:right w:val="nil"/>
            </w:tcBorders>
            <w:shd w:val="clear" w:color="auto" w:fill="auto"/>
            <w:noWrap/>
            <w:vAlign w:val="bottom"/>
          </w:tcPr>
          <w:p w:rsidR="001D2FC8" w:rsidRPr="00400470" w:rsidRDefault="001D2FC8" w:rsidP="001D2FC8">
            <w:pPr>
              <w:pStyle w:val="Tabele"/>
            </w:pPr>
          </w:p>
        </w:tc>
        <w:tc>
          <w:tcPr>
            <w:tcW w:w="678" w:type="pct"/>
            <w:tcBorders>
              <w:top w:val="nil"/>
              <w:left w:val="nil"/>
              <w:bottom w:val="nil"/>
              <w:right w:val="nil"/>
            </w:tcBorders>
            <w:shd w:val="clear" w:color="auto" w:fill="auto"/>
            <w:noWrap/>
            <w:vAlign w:val="bottom"/>
          </w:tcPr>
          <w:p w:rsidR="001D2FC8" w:rsidRPr="00400470" w:rsidRDefault="001D2FC8" w:rsidP="001D2FC8">
            <w:pPr>
              <w:pStyle w:val="Tabele"/>
            </w:pPr>
          </w:p>
        </w:tc>
        <w:tc>
          <w:tcPr>
            <w:tcW w:w="677" w:type="pct"/>
            <w:tcBorders>
              <w:top w:val="nil"/>
              <w:left w:val="nil"/>
              <w:bottom w:val="nil"/>
              <w:right w:val="nil"/>
            </w:tcBorders>
            <w:shd w:val="clear" w:color="auto" w:fill="auto"/>
            <w:noWrap/>
            <w:vAlign w:val="bottom"/>
          </w:tcPr>
          <w:p w:rsidR="001D2FC8" w:rsidRPr="00400470" w:rsidRDefault="001D2FC8" w:rsidP="001D2FC8">
            <w:pPr>
              <w:pStyle w:val="Tabele"/>
              <w:rPr>
                <w:b/>
                <w:bCs/>
              </w:rPr>
            </w:pPr>
            <w:r w:rsidRPr="00400470">
              <w:rPr>
                <w:b/>
                <w:bCs/>
              </w:rPr>
              <w:t>ne 000/Leke</w:t>
            </w:r>
          </w:p>
        </w:tc>
      </w:tr>
      <w:tr w:rsidR="001D2FC8" w:rsidRPr="00400470">
        <w:trPr>
          <w:trHeight w:val="408"/>
        </w:trPr>
        <w:tc>
          <w:tcPr>
            <w:tcW w:w="437" w:type="pct"/>
            <w:tcBorders>
              <w:top w:val="double" w:sz="6" w:space="0" w:color="auto"/>
              <w:left w:val="double" w:sz="6" w:space="0" w:color="auto"/>
              <w:bottom w:val="single" w:sz="4" w:space="0" w:color="auto"/>
              <w:right w:val="single" w:sz="4" w:space="0" w:color="auto"/>
            </w:tcBorders>
            <w:shd w:val="clear" w:color="auto" w:fill="auto"/>
            <w:noWrap/>
          </w:tcPr>
          <w:p w:rsidR="001D2FC8" w:rsidRPr="00400470" w:rsidRDefault="001D2FC8" w:rsidP="001D2FC8">
            <w:pPr>
              <w:pStyle w:val="Tabele"/>
              <w:rPr>
                <w:b/>
                <w:bCs/>
              </w:rPr>
            </w:pPr>
            <w:r w:rsidRPr="00400470">
              <w:rPr>
                <w:b/>
                <w:bCs/>
              </w:rPr>
              <w:t>Kodmin</w:t>
            </w:r>
          </w:p>
        </w:tc>
        <w:tc>
          <w:tcPr>
            <w:tcW w:w="2529" w:type="pct"/>
            <w:tcBorders>
              <w:top w:val="double" w:sz="6" w:space="0" w:color="auto"/>
              <w:left w:val="nil"/>
              <w:bottom w:val="single" w:sz="4" w:space="0" w:color="auto"/>
              <w:right w:val="single" w:sz="4" w:space="0" w:color="auto"/>
            </w:tcBorders>
            <w:shd w:val="clear" w:color="auto" w:fill="auto"/>
          </w:tcPr>
          <w:p w:rsidR="001D2FC8" w:rsidRPr="00400470" w:rsidRDefault="001D2FC8" w:rsidP="001D2FC8">
            <w:pPr>
              <w:pStyle w:val="Tabele"/>
              <w:rPr>
                <w:b/>
                <w:bCs/>
              </w:rPr>
            </w:pPr>
            <w:r w:rsidRPr="00400470">
              <w:rPr>
                <w:b/>
                <w:bCs/>
              </w:rPr>
              <w:t>Buxheti  i vitit 2006 sipas Ministrive dhe Institucioneve (ne mije Leke)</w:t>
            </w:r>
          </w:p>
        </w:tc>
        <w:tc>
          <w:tcPr>
            <w:tcW w:w="679" w:type="pct"/>
            <w:tcBorders>
              <w:top w:val="double" w:sz="6" w:space="0" w:color="auto"/>
              <w:left w:val="nil"/>
              <w:bottom w:val="single" w:sz="4" w:space="0" w:color="auto"/>
              <w:right w:val="single" w:sz="4" w:space="0" w:color="auto"/>
            </w:tcBorders>
            <w:shd w:val="clear" w:color="auto" w:fill="auto"/>
          </w:tcPr>
          <w:p w:rsidR="001D2FC8" w:rsidRPr="00400470" w:rsidRDefault="001D2FC8" w:rsidP="001D2FC8">
            <w:pPr>
              <w:pStyle w:val="Tabele"/>
              <w:rPr>
                <w:b/>
                <w:bCs/>
              </w:rPr>
            </w:pPr>
            <w:r w:rsidRPr="00400470">
              <w:rPr>
                <w:b/>
                <w:bCs/>
              </w:rPr>
              <w:t xml:space="preserve">Fonde te </w:t>
            </w:r>
            <w:r w:rsidRPr="00400470">
              <w:rPr>
                <w:b/>
                <w:bCs/>
              </w:rPr>
              <w:br/>
              <w:t>pakushtezuara</w:t>
            </w:r>
          </w:p>
        </w:tc>
        <w:tc>
          <w:tcPr>
            <w:tcW w:w="678" w:type="pct"/>
            <w:tcBorders>
              <w:top w:val="double" w:sz="6" w:space="0" w:color="auto"/>
              <w:left w:val="nil"/>
              <w:bottom w:val="single" w:sz="4" w:space="0" w:color="auto"/>
              <w:right w:val="single" w:sz="4" w:space="0" w:color="auto"/>
            </w:tcBorders>
            <w:shd w:val="clear" w:color="auto" w:fill="auto"/>
          </w:tcPr>
          <w:p w:rsidR="001D2FC8" w:rsidRPr="00400470" w:rsidRDefault="001D2FC8" w:rsidP="001D2FC8">
            <w:pPr>
              <w:pStyle w:val="Tabele"/>
              <w:rPr>
                <w:b/>
                <w:bCs/>
              </w:rPr>
            </w:pPr>
            <w:r w:rsidRPr="00400470">
              <w:rPr>
                <w:b/>
                <w:bCs/>
              </w:rPr>
              <w:t xml:space="preserve">Fonde te </w:t>
            </w:r>
            <w:r w:rsidRPr="00400470">
              <w:rPr>
                <w:b/>
                <w:bCs/>
              </w:rPr>
              <w:br/>
              <w:t>kushtezuara</w:t>
            </w:r>
          </w:p>
        </w:tc>
        <w:tc>
          <w:tcPr>
            <w:tcW w:w="677" w:type="pct"/>
            <w:tcBorders>
              <w:top w:val="double" w:sz="6" w:space="0" w:color="auto"/>
              <w:left w:val="nil"/>
              <w:bottom w:val="single" w:sz="4" w:space="0" w:color="auto"/>
              <w:right w:val="double" w:sz="6" w:space="0" w:color="auto"/>
            </w:tcBorders>
            <w:shd w:val="clear" w:color="auto" w:fill="auto"/>
            <w:noWrap/>
          </w:tcPr>
          <w:p w:rsidR="001D2FC8" w:rsidRPr="00400470" w:rsidRDefault="001D2FC8" w:rsidP="001D2FC8">
            <w:pPr>
              <w:pStyle w:val="Tabele"/>
              <w:rPr>
                <w:b/>
                <w:bCs/>
              </w:rPr>
            </w:pPr>
            <w:r w:rsidRPr="00400470">
              <w:rPr>
                <w:b/>
                <w:bCs/>
              </w:rPr>
              <w:t>Totali</w:t>
            </w:r>
          </w:p>
        </w:tc>
      </w:tr>
      <w:tr w:rsidR="001D2FC8" w:rsidRPr="00400470">
        <w:trPr>
          <w:trHeight w:val="176"/>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Presidenca</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144,000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144,000</w:t>
            </w:r>
          </w:p>
        </w:tc>
      </w:tr>
      <w:tr w:rsidR="001D2FC8" w:rsidRPr="00400470">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Kuvendi</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897,000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897,000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Keshilli Ministrave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562,537</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500,000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1,062,537</w:t>
            </w:r>
          </w:p>
        </w:tc>
      </w:tr>
      <w:tr w:rsidR="001D2FC8" w:rsidRPr="00400470">
        <w:trPr>
          <w:trHeight w:val="184"/>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lastRenderedPageBreak/>
              <w:t>4</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Ministria e Ekonomise, Tregtise dhe Energjitikes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1,033,400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3,647,100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4,680,500</w:t>
            </w:r>
          </w:p>
        </w:tc>
      </w:tr>
      <w:tr w:rsidR="001D2FC8" w:rsidRPr="00400470">
        <w:trPr>
          <w:trHeight w:val="168"/>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Ministria e Bujqesise, Ushqimit dhe Mrojtjes se Konsumatorit.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3,423,584</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1,785,050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5,208,634</w:t>
            </w:r>
          </w:p>
        </w:tc>
      </w:tr>
      <w:tr w:rsidR="001D2FC8" w:rsidRPr="00400470">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Ministria e Puneve Publike, Transportit dhe Telekomunikacionit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27,331,940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7,170,560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34,502,500</w:t>
            </w:r>
          </w:p>
        </w:tc>
      </w:tr>
      <w:tr w:rsidR="001D2FC8" w:rsidRPr="00400470">
        <w:trPr>
          <w:trHeight w:val="163"/>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9</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Regjistrimi  i Pasurive te Paluajtshme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121,000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219,000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340,000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10</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 xml:space="preserve">Ministria e Financave </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682,500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23,460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705,960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11</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Ministria e Arsimit dhe Shkences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23,202,899</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2,742,410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25,945,309</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12</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Ministria e Turizmit, Kultures, Rinise dhe Sporteve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1,370,500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316,900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1,687,400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13</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Shendetesise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16,985,015</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1,868,290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18,853,305</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14</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Drejtesise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2,413,542</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1,147,208</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3,560,750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15</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Ministria e Puneve te Jashtme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1,441,000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20,000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1,461,000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16</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Brendshme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11,942,909</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1,215,204</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13,158,113</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17</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Mbrojtjes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12,946,832</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1,134,238</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14,081,070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18</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Sherbimi Informativ Shteteror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1,020,783</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14,217</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1,035,000</w:t>
            </w:r>
          </w:p>
        </w:tc>
      </w:tr>
      <w:tr w:rsidR="001D2FC8" w:rsidRPr="00400470">
        <w:trPr>
          <w:trHeight w:val="7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19</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Drejtoria e Radio Televizionit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300,000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300,000</w:t>
            </w:r>
          </w:p>
        </w:tc>
      </w:tr>
      <w:tr w:rsidR="001D2FC8" w:rsidRPr="00400470">
        <w:trPr>
          <w:trHeight w:val="8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20</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Pergjithshme e Arkivave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144,000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152,000</w:t>
            </w:r>
          </w:p>
        </w:tc>
      </w:tr>
      <w:tr w:rsidR="001D2FC8" w:rsidRPr="00400470">
        <w:trPr>
          <w:trHeight w:val="8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21</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Rezervave te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110,000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115,000</w:t>
            </w:r>
          </w:p>
        </w:tc>
      </w:tr>
      <w:tr w:rsidR="001D2FC8" w:rsidRPr="00400470">
        <w:trPr>
          <w:trHeight w:val="9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22</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Akademia e Shkences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575,000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37,000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612,000</w:t>
            </w:r>
          </w:p>
        </w:tc>
      </w:tr>
      <w:tr w:rsidR="001D2FC8" w:rsidRPr="00400470">
        <w:trPr>
          <w:trHeight w:val="109"/>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24</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Kontrolli Larte  i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235,000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235,000</w:t>
            </w:r>
          </w:p>
        </w:tc>
      </w:tr>
      <w:tr w:rsidR="001D2FC8" w:rsidRPr="00400470">
        <w:trPr>
          <w:trHeight w:val="122"/>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25</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Ministria e Punes, Ceshtjeve Sociale dhe Shanseve te Barabarta</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31,779,800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445,400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32,225,200</w:t>
            </w:r>
          </w:p>
        </w:tc>
      </w:tr>
      <w:tr w:rsidR="001D2FC8" w:rsidRPr="00400470">
        <w:trPr>
          <w:trHeight w:val="133"/>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26</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Mjedisit, Pyjeve dhe Administrimit te Ujrave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984,800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575,886</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1,560,686</w:t>
            </w:r>
          </w:p>
        </w:tc>
      </w:tr>
      <w:tr w:rsidR="001D2FC8" w:rsidRPr="00400470">
        <w:trPr>
          <w:trHeight w:val="13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27</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Agjensia Kombetare e Privatizimit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27,000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30,000</w:t>
            </w:r>
          </w:p>
        </w:tc>
      </w:tr>
      <w:tr w:rsidR="001D2FC8" w:rsidRPr="00400470">
        <w:trPr>
          <w:trHeight w:val="144"/>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28</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Prokuroria e Pergjithshme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976,000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979,000</w:t>
            </w:r>
          </w:p>
        </w:tc>
      </w:tr>
      <w:tr w:rsidR="001D2FC8" w:rsidRPr="00400470">
        <w:trPr>
          <w:trHeight w:val="14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29</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Zyra e Administrimit te Buxhetit Gjyqesor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1,233,500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1,234,000</w:t>
            </w:r>
          </w:p>
        </w:tc>
      </w:tr>
      <w:tr w:rsidR="001D2FC8" w:rsidRPr="00400470">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30</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Gjykata Kushtetuese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75,000</w:t>
            </w:r>
          </w:p>
        </w:tc>
      </w:tr>
      <w:tr w:rsidR="001D2FC8" w:rsidRPr="00400470">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31</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Agjensia Telegrafike Shqiptare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92,000</w:t>
            </w:r>
          </w:p>
        </w:tc>
      </w:tr>
      <w:tr w:rsidR="001D2FC8" w:rsidRPr="00400470">
        <w:trPr>
          <w:trHeight w:val="17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35</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Pergjithshme e Doganave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829,000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337,200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1,166,200</w:t>
            </w:r>
          </w:p>
        </w:tc>
      </w:tr>
      <w:tr w:rsidR="001D2FC8" w:rsidRPr="00400470">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37</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Pergjithshme e Standartizimit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26,300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27,000</w:t>
            </w:r>
          </w:p>
        </w:tc>
      </w:tr>
      <w:tr w:rsidR="001D2FC8" w:rsidRPr="00400470">
        <w:trPr>
          <w:trHeight w:val="173"/>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40</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Partite Politike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200,000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200,000</w:t>
            </w:r>
          </w:p>
        </w:tc>
      </w:tr>
      <w:tr w:rsidR="001D2FC8" w:rsidRPr="00400470">
        <w:trPr>
          <w:trHeight w:val="15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41</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Pergjithshme e Tatimeve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1,159,200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421,900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1,581,100</w:t>
            </w:r>
          </w:p>
        </w:tc>
      </w:tr>
      <w:tr w:rsidR="001D2FC8" w:rsidRPr="00400470">
        <w:trPr>
          <w:trHeight w:val="169"/>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48</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Drejtoria e Metrologise dhe Kalibrimit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23,000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23,000</w:t>
            </w:r>
          </w:p>
        </w:tc>
      </w:tr>
      <w:tr w:rsidR="001D2FC8" w:rsidRPr="00400470">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50</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Instituti Statistikes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118,800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126,800</w:t>
            </w:r>
          </w:p>
        </w:tc>
      </w:tr>
      <w:tr w:rsidR="001D2FC8" w:rsidRPr="00400470">
        <w:trPr>
          <w:trHeight w:val="18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53</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Komisioni   i Letrave me  Vlere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22,000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1,000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23,000</w:t>
            </w:r>
          </w:p>
        </w:tc>
      </w:tr>
      <w:tr w:rsidR="001D2FC8" w:rsidRPr="00400470">
        <w:trPr>
          <w:trHeight w:val="17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55</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Shkolla e Magjistratures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50,600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900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51,500</w:t>
            </w:r>
          </w:p>
        </w:tc>
      </w:tr>
      <w:tr w:rsidR="001D2FC8" w:rsidRPr="00400470">
        <w:trPr>
          <w:trHeight w:val="16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56</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Fondi  i Zhvillimit Shqiptar</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545,000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1,694,567</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2,239,567</w:t>
            </w:r>
          </w:p>
        </w:tc>
      </w:tr>
      <w:tr w:rsidR="001D2FC8" w:rsidRPr="00400470">
        <w:trPr>
          <w:trHeight w:val="174"/>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57</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Qendra Kombetare e Kinematografise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81,700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82,300</w:t>
            </w:r>
          </w:p>
        </w:tc>
      </w:tr>
      <w:tr w:rsidR="001D2FC8" w:rsidRPr="00400470">
        <w:trPr>
          <w:trHeight w:val="17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59</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Instituti i Integrimit te Perndjekurve Politik</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24,900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24,900</w:t>
            </w:r>
          </w:p>
        </w:tc>
      </w:tr>
      <w:tr w:rsidR="001D2FC8" w:rsidRPr="00400470">
        <w:trPr>
          <w:trHeight w:val="15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63</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Keshilli  i Larte i Drejtesise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76,886</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76,886</w:t>
            </w:r>
          </w:p>
        </w:tc>
      </w:tr>
      <w:tr w:rsidR="001D2FC8" w:rsidRPr="00400470">
        <w:trPr>
          <w:trHeight w:val="168"/>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66</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Avokati  i Popullit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72,000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72,000</w:t>
            </w:r>
          </w:p>
        </w:tc>
      </w:tr>
      <w:tr w:rsidR="001D2FC8" w:rsidRPr="00400470">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67</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Komisioni  i Sherbimit Civil</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36,100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36,100</w:t>
            </w:r>
          </w:p>
        </w:tc>
      </w:tr>
      <w:tr w:rsidR="001D2FC8" w:rsidRPr="00400470">
        <w:trPr>
          <w:trHeight w:val="191"/>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73</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Komisioni Qendror  i Zgjedhjeve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510,800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510,800</w:t>
            </w:r>
          </w:p>
        </w:tc>
      </w:tr>
      <w:tr w:rsidR="001D2FC8" w:rsidRPr="00400470">
        <w:trPr>
          <w:trHeight w:val="162"/>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75</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Avokati i Shtetit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72,000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72,000</w:t>
            </w:r>
          </w:p>
        </w:tc>
      </w:tr>
      <w:tr w:rsidR="001D2FC8" w:rsidRPr="00400470">
        <w:trPr>
          <w:trHeight w:val="173"/>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76</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 xml:space="preserve">Inspektoriati i Larte Kontrollit te Deklarimit te Pasurive </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79,000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79,000</w:t>
            </w:r>
          </w:p>
        </w:tc>
      </w:tr>
      <w:tr w:rsidR="001D2FC8" w:rsidRPr="00400470">
        <w:trPr>
          <w:trHeight w:val="15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77</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Autoriteti i Konkurences</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34,000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34,000</w:t>
            </w:r>
          </w:p>
        </w:tc>
      </w:tr>
      <w:tr w:rsidR="001D2FC8" w:rsidRPr="00400470">
        <w:trPr>
          <w:trHeight w:val="169"/>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78</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Ministria e Integrimit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84,296</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3,125</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87,421</w:t>
            </w:r>
          </w:p>
        </w:tc>
      </w:tr>
      <w:tr w:rsidR="001D2FC8" w:rsidRPr="00400470">
        <w:trPr>
          <w:trHeight w:val="167"/>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79</w:t>
            </w:r>
          </w:p>
        </w:tc>
        <w:tc>
          <w:tcPr>
            <w:tcW w:w="2529"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Komiteti Shteteror i Kthimit dhe Kompensimit te Pronave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495,000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495,000</w:t>
            </w:r>
          </w:p>
        </w:tc>
      </w:tr>
      <w:tr w:rsidR="001D2FC8" w:rsidRPr="00400470">
        <w:trPr>
          <w:trHeight w:val="165"/>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82</w:t>
            </w:r>
          </w:p>
        </w:tc>
        <w:tc>
          <w:tcPr>
            <w:tcW w:w="2529"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Keshilli Kombetar Kontabilitetit</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9,300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700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10,000</w:t>
            </w:r>
          </w:p>
        </w:tc>
      </w:tr>
      <w:tr w:rsidR="001D2FC8" w:rsidRPr="00400470">
        <w:trPr>
          <w:trHeight w:val="70"/>
        </w:trPr>
        <w:tc>
          <w:tcPr>
            <w:tcW w:w="437"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83</w:t>
            </w:r>
          </w:p>
        </w:tc>
        <w:tc>
          <w:tcPr>
            <w:tcW w:w="2529"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 xml:space="preserve">Drejtoria e Pergjithshme e Parandalimit te Pastrimit </w:t>
            </w:r>
            <w:r w:rsidRPr="002D7AC2">
              <w:rPr>
                <w:color w:val="000000"/>
                <w:lang w:val="it-IT"/>
              </w:rPr>
              <w:lastRenderedPageBreak/>
              <w:t>te Parave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lastRenderedPageBreak/>
              <w:t>43,000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43,000</w:t>
            </w:r>
          </w:p>
        </w:tc>
      </w:tr>
      <w:tr w:rsidR="001D2FC8" w:rsidRPr="00400470">
        <w:trPr>
          <w:trHeight w:val="190"/>
        </w:trPr>
        <w:tc>
          <w:tcPr>
            <w:tcW w:w="437" w:type="pct"/>
            <w:tcBorders>
              <w:top w:val="nil"/>
              <w:left w:val="double" w:sz="6" w:space="0" w:color="auto"/>
              <w:bottom w:val="nil"/>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lastRenderedPageBreak/>
              <w:t>84</w:t>
            </w:r>
          </w:p>
        </w:tc>
        <w:tc>
          <w:tcPr>
            <w:tcW w:w="2529" w:type="pct"/>
            <w:tcBorders>
              <w:top w:val="nil"/>
              <w:left w:val="nil"/>
              <w:bottom w:val="nil"/>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Inspektorati i Instituteve Private te Pensioneve Suplementare</w:t>
            </w:r>
          </w:p>
        </w:tc>
        <w:tc>
          <w:tcPr>
            <w:tcW w:w="67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10,000</w:t>
            </w:r>
          </w:p>
        </w:tc>
        <w:tc>
          <w:tcPr>
            <w:tcW w:w="678"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77"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10,000</w:t>
            </w:r>
          </w:p>
        </w:tc>
      </w:tr>
      <w:tr w:rsidR="001D2FC8" w:rsidRPr="00400470">
        <w:trPr>
          <w:trHeight w:val="270"/>
        </w:trPr>
        <w:tc>
          <w:tcPr>
            <w:tcW w:w="437" w:type="pct"/>
            <w:tcBorders>
              <w:top w:val="single" w:sz="4" w:space="0" w:color="auto"/>
              <w:left w:val="double" w:sz="6" w:space="0" w:color="auto"/>
              <w:bottom w:val="double" w:sz="6" w:space="0" w:color="auto"/>
              <w:right w:val="single" w:sz="4" w:space="0" w:color="auto"/>
            </w:tcBorders>
            <w:shd w:val="clear" w:color="auto" w:fill="auto"/>
            <w:noWrap/>
            <w:vAlign w:val="bottom"/>
          </w:tcPr>
          <w:p w:rsidR="001D2FC8" w:rsidRPr="00400470" w:rsidRDefault="001D2FC8" w:rsidP="001D2FC8">
            <w:pPr>
              <w:pStyle w:val="Tabele"/>
              <w:rPr>
                <w:b/>
                <w:bCs/>
                <w:color w:val="000000"/>
              </w:rPr>
            </w:pPr>
            <w:r w:rsidRPr="00400470">
              <w:rPr>
                <w:b/>
                <w:bCs/>
                <w:color w:val="000000"/>
              </w:rPr>
              <w:t> </w:t>
            </w:r>
          </w:p>
        </w:tc>
        <w:tc>
          <w:tcPr>
            <w:tcW w:w="2529" w:type="pct"/>
            <w:tcBorders>
              <w:top w:val="single" w:sz="4" w:space="0" w:color="auto"/>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color w:val="000000"/>
              </w:rPr>
            </w:pPr>
            <w:r w:rsidRPr="00400470">
              <w:rPr>
                <w:b/>
                <w:bCs/>
                <w:color w:val="000000"/>
              </w:rPr>
              <w:t>Totali</w:t>
            </w:r>
          </w:p>
        </w:tc>
        <w:tc>
          <w:tcPr>
            <w:tcW w:w="679" w:type="pct"/>
            <w:tcBorders>
              <w:top w:val="single" w:sz="4" w:space="0" w:color="auto"/>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rPr>
            </w:pPr>
            <w:r w:rsidRPr="00400470">
              <w:rPr>
                <w:b/>
                <w:bCs/>
              </w:rPr>
              <w:t>146,647,423</w:t>
            </w:r>
          </w:p>
        </w:tc>
        <w:tc>
          <w:tcPr>
            <w:tcW w:w="678" w:type="pct"/>
            <w:tcBorders>
              <w:top w:val="single" w:sz="4" w:space="0" w:color="auto"/>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rPr>
            </w:pPr>
            <w:r w:rsidRPr="00400470">
              <w:rPr>
                <w:b/>
                <w:bCs/>
              </w:rPr>
              <w:t>25,357,115</w:t>
            </w:r>
          </w:p>
        </w:tc>
        <w:tc>
          <w:tcPr>
            <w:tcW w:w="677" w:type="pct"/>
            <w:tcBorders>
              <w:top w:val="single" w:sz="4" w:space="0" w:color="auto"/>
              <w:left w:val="nil"/>
              <w:bottom w:val="double" w:sz="6" w:space="0" w:color="auto"/>
              <w:right w:val="double" w:sz="6" w:space="0" w:color="auto"/>
            </w:tcBorders>
            <w:shd w:val="clear" w:color="auto" w:fill="auto"/>
            <w:noWrap/>
            <w:vAlign w:val="bottom"/>
          </w:tcPr>
          <w:p w:rsidR="001D2FC8" w:rsidRPr="00400470" w:rsidRDefault="001D2FC8" w:rsidP="001D2FC8">
            <w:pPr>
              <w:pStyle w:val="Tabele"/>
              <w:rPr>
                <w:b/>
                <w:bCs/>
              </w:rPr>
            </w:pPr>
            <w:r w:rsidRPr="00400470">
              <w:rPr>
                <w:b/>
                <w:bCs/>
              </w:rPr>
              <w:t>172,004,538</w:t>
            </w:r>
          </w:p>
        </w:tc>
      </w:tr>
    </w:tbl>
    <w:p w:rsidR="001D2FC8" w:rsidRDefault="001D2FC8" w:rsidP="001D2FC8">
      <w:pPr>
        <w:pStyle w:val="Paragrafi"/>
      </w:pPr>
    </w:p>
    <w:p w:rsidR="001D2FC8" w:rsidRDefault="001D2FC8" w:rsidP="001D2FC8">
      <w:pPr>
        <w:pStyle w:val="Paragrafi"/>
      </w:pPr>
    </w:p>
    <w:p w:rsidR="001D2FC8" w:rsidRDefault="001D2FC8" w:rsidP="001D2FC8">
      <w:pPr>
        <w:pStyle w:val="Paragrafi"/>
      </w:pPr>
    </w:p>
    <w:tbl>
      <w:tblPr>
        <w:tblW w:w="5000" w:type="pct"/>
        <w:tblLook w:val="0000" w:firstRow="0" w:lastRow="0" w:firstColumn="0" w:lastColumn="0" w:noHBand="0" w:noVBand="0"/>
      </w:tblPr>
      <w:tblGrid>
        <w:gridCol w:w="987"/>
        <w:gridCol w:w="4668"/>
        <w:gridCol w:w="1292"/>
        <w:gridCol w:w="1243"/>
        <w:gridCol w:w="1096"/>
      </w:tblGrid>
      <w:tr w:rsidR="001D2FC8" w:rsidRPr="00400470">
        <w:trPr>
          <w:trHeight w:val="270"/>
        </w:trPr>
        <w:tc>
          <w:tcPr>
            <w:tcW w:w="495" w:type="pct"/>
            <w:tcBorders>
              <w:top w:val="nil"/>
              <w:left w:val="nil"/>
              <w:bottom w:val="nil"/>
              <w:right w:val="nil"/>
            </w:tcBorders>
            <w:shd w:val="clear" w:color="auto" w:fill="auto"/>
            <w:noWrap/>
            <w:vAlign w:val="bottom"/>
          </w:tcPr>
          <w:p w:rsidR="001D2FC8" w:rsidRPr="00400470" w:rsidRDefault="001D2FC8" w:rsidP="001D2FC8">
            <w:pPr>
              <w:pStyle w:val="Tabele"/>
            </w:pPr>
            <w:r>
              <w:t>Ta.1.1</w:t>
            </w:r>
          </w:p>
        </w:tc>
        <w:tc>
          <w:tcPr>
            <w:tcW w:w="2584" w:type="pct"/>
            <w:tcBorders>
              <w:top w:val="nil"/>
              <w:left w:val="nil"/>
              <w:bottom w:val="nil"/>
              <w:right w:val="nil"/>
            </w:tcBorders>
            <w:shd w:val="clear" w:color="auto" w:fill="auto"/>
            <w:noWrap/>
            <w:vAlign w:val="bottom"/>
          </w:tcPr>
          <w:p w:rsidR="001D2FC8" w:rsidRPr="00400470" w:rsidRDefault="001D2FC8" w:rsidP="001D2FC8">
            <w:pPr>
              <w:pStyle w:val="Tabele"/>
            </w:pPr>
          </w:p>
        </w:tc>
        <w:tc>
          <w:tcPr>
            <w:tcW w:w="689" w:type="pct"/>
            <w:tcBorders>
              <w:top w:val="nil"/>
              <w:left w:val="nil"/>
              <w:bottom w:val="nil"/>
              <w:right w:val="nil"/>
            </w:tcBorders>
            <w:shd w:val="clear" w:color="auto" w:fill="auto"/>
            <w:noWrap/>
            <w:vAlign w:val="bottom"/>
          </w:tcPr>
          <w:p w:rsidR="001D2FC8" w:rsidRPr="00400470" w:rsidRDefault="001D2FC8" w:rsidP="001D2FC8">
            <w:pPr>
              <w:pStyle w:val="Tabele"/>
            </w:pPr>
          </w:p>
        </w:tc>
        <w:tc>
          <w:tcPr>
            <w:tcW w:w="616" w:type="pct"/>
            <w:tcBorders>
              <w:top w:val="nil"/>
              <w:left w:val="nil"/>
              <w:bottom w:val="nil"/>
              <w:right w:val="nil"/>
            </w:tcBorders>
            <w:shd w:val="clear" w:color="auto" w:fill="auto"/>
            <w:noWrap/>
            <w:vAlign w:val="bottom"/>
          </w:tcPr>
          <w:p w:rsidR="001D2FC8" w:rsidRPr="00400470" w:rsidRDefault="001D2FC8" w:rsidP="001D2FC8">
            <w:pPr>
              <w:pStyle w:val="Tabele"/>
              <w:rPr>
                <w:b/>
                <w:bCs/>
              </w:rPr>
            </w:pPr>
            <w:r w:rsidRPr="00400470">
              <w:rPr>
                <w:b/>
                <w:bCs/>
              </w:rPr>
              <w:t>ne 000 Lek</w:t>
            </w:r>
          </w:p>
        </w:tc>
        <w:tc>
          <w:tcPr>
            <w:tcW w:w="616" w:type="pct"/>
            <w:tcBorders>
              <w:top w:val="nil"/>
              <w:left w:val="nil"/>
              <w:bottom w:val="nil"/>
              <w:right w:val="nil"/>
            </w:tcBorders>
            <w:shd w:val="clear" w:color="auto" w:fill="auto"/>
            <w:noWrap/>
            <w:vAlign w:val="bottom"/>
          </w:tcPr>
          <w:p w:rsidR="001D2FC8" w:rsidRPr="00400470" w:rsidRDefault="001D2FC8" w:rsidP="001D2FC8">
            <w:pPr>
              <w:pStyle w:val="Tabele"/>
            </w:pPr>
          </w:p>
        </w:tc>
      </w:tr>
      <w:tr w:rsidR="001D2FC8" w:rsidRPr="00400470">
        <w:trPr>
          <w:trHeight w:val="780"/>
        </w:trPr>
        <w:tc>
          <w:tcPr>
            <w:tcW w:w="495" w:type="pct"/>
            <w:tcBorders>
              <w:top w:val="double" w:sz="6" w:space="0" w:color="auto"/>
              <w:left w:val="double" w:sz="6" w:space="0" w:color="auto"/>
              <w:bottom w:val="single" w:sz="4" w:space="0" w:color="auto"/>
              <w:right w:val="single" w:sz="4" w:space="0" w:color="auto"/>
            </w:tcBorders>
            <w:shd w:val="clear" w:color="auto" w:fill="auto"/>
            <w:noWrap/>
            <w:vAlign w:val="bottom"/>
          </w:tcPr>
          <w:p w:rsidR="001D2FC8" w:rsidRPr="00400470" w:rsidRDefault="001D2FC8" w:rsidP="001D2FC8">
            <w:pPr>
              <w:pStyle w:val="Tabele"/>
              <w:rPr>
                <w:b/>
                <w:bCs/>
              </w:rPr>
            </w:pPr>
            <w:r w:rsidRPr="00400470">
              <w:rPr>
                <w:b/>
                <w:bCs/>
              </w:rPr>
              <w:t>Kodmin</w:t>
            </w:r>
          </w:p>
        </w:tc>
        <w:tc>
          <w:tcPr>
            <w:tcW w:w="2584" w:type="pct"/>
            <w:tcBorders>
              <w:top w:val="double" w:sz="6" w:space="0" w:color="auto"/>
              <w:left w:val="nil"/>
              <w:bottom w:val="single" w:sz="4" w:space="0" w:color="auto"/>
              <w:right w:val="single" w:sz="4" w:space="0" w:color="auto"/>
            </w:tcBorders>
            <w:shd w:val="clear" w:color="auto" w:fill="auto"/>
            <w:vAlign w:val="bottom"/>
          </w:tcPr>
          <w:p w:rsidR="001D2FC8" w:rsidRPr="00400470" w:rsidRDefault="001D2FC8" w:rsidP="001D2FC8">
            <w:pPr>
              <w:pStyle w:val="Tabele"/>
              <w:rPr>
                <w:b/>
                <w:bCs/>
              </w:rPr>
            </w:pPr>
            <w:r w:rsidRPr="00400470">
              <w:rPr>
                <w:b/>
                <w:bCs/>
              </w:rPr>
              <w:t xml:space="preserve">Institucionet e Pavarura </w:t>
            </w:r>
          </w:p>
        </w:tc>
        <w:tc>
          <w:tcPr>
            <w:tcW w:w="689" w:type="pct"/>
            <w:tcBorders>
              <w:top w:val="double" w:sz="6" w:space="0" w:color="auto"/>
              <w:left w:val="nil"/>
              <w:bottom w:val="single" w:sz="4" w:space="0" w:color="auto"/>
              <w:right w:val="single" w:sz="4" w:space="0" w:color="auto"/>
            </w:tcBorders>
            <w:shd w:val="clear" w:color="auto" w:fill="auto"/>
            <w:vAlign w:val="bottom"/>
          </w:tcPr>
          <w:p w:rsidR="001D2FC8" w:rsidRPr="00400470" w:rsidRDefault="001D2FC8" w:rsidP="001D2FC8">
            <w:pPr>
              <w:pStyle w:val="Tabele"/>
              <w:rPr>
                <w:b/>
                <w:bCs/>
              </w:rPr>
            </w:pPr>
            <w:r w:rsidRPr="00400470">
              <w:rPr>
                <w:b/>
                <w:bCs/>
              </w:rPr>
              <w:t>Nr.</w:t>
            </w:r>
            <w:r w:rsidRPr="00400470">
              <w:rPr>
                <w:b/>
                <w:bCs/>
              </w:rPr>
              <w:br/>
              <w:t>Punonjesve</w:t>
            </w:r>
          </w:p>
        </w:tc>
        <w:tc>
          <w:tcPr>
            <w:tcW w:w="616" w:type="pct"/>
            <w:tcBorders>
              <w:top w:val="double" w:sz="6" w:space="0" w:color="auto"/>
              <w:left w:val="nil"/>
              <w:bottom w:val="single" w:sz="4" w:space="0" w:color="auto"/>
              <w:right w:val="single" w:sz="4" w:space="0" w:color="auto"/>
            </w:tcBorders>
            <w:shd w:val="clear" w:color="auto" w:fill="auto"/>
            <w:vAlign w:val="bottom"/>
          </w:tcPr>
          <w:p w:rsidR="001D2FC8" w:rsidRPr="00400470" w:rsidRDefault="001D2FC8" w:rsidP="001D2FC8">
            <w:pPr>
              <w:pStyle w:val="Tabele"/>
              <w:rPr>
                <w:b/>
                <w:bCs/>
              </w:rPr>
            </w:pPr>
            <w:r w:rsidRPr="00400470">
              <w:rPr>
                <w:b/>
                <w:bCs/>
              </w:rPr>
              <w:t xml:space="preserve">Paga </w:t>
            </w:r>
            <w:r w:rsidRPr="00400470">
              <w:rPr>
                <w:b/>
                <w:bCs/>
              </w:rPr>
              <w:br/>
              <w:t>600+601</w:t>
            </w:r>
          </w:p>
        </w:tc>
        <w:tc>
          <w:tcPr>
            <w:tcW w:w="616" w:type="pct"/>
            <w:tcBorders>
              <w:top w:val="double" w:sz="6" w:space="0" w:color="auto"/>
              <w:left w:val="nil"/>
              <w:bottom w:val="single" w:sz="4" w:space="0" w:color="auto"/>
              <w:right w:val="double" w:sz="6" w:space="0" w:color="auto"/>
            </w:tcBorders>
            <w:shd w:val="clear" w:color="auto" w:fill="auto"/>
            <w:vAlign w:val="bottom"/>
          </w:tcPr>
          <w:p w:rsidR="001D2FC8" w:rsidRPr="00400470" w:rsidRDefault="001D2FC8" w:rsidP="001D2FC8">
            <w:pPr>
              <w:pStyle w:val="Tabele"/>
              <w:rPr>
                <w:b/>
                <w:bCs/>
              </w:rPr>
            </w:pPr>
            <w:r w:rsidRPr="00400470">
              <w:rPr>
                <w:b/>
                <w:bCs/>
              </w:rPr>
              <w:t>Buxheti</w:t>
            </w:r>
            <w:r w:rsidRPr="00400470">
              <w:rPr>
                <w:b/>
                <w:bCs/>
              </w:rPr>
              <w:br/>
              <w:t>Total</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1</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Presidenca</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66</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64,000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144,000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Kuvendi</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414</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442,000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897,000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24</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Kontrolli Larte  i Shtetit</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160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185,000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235,000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28</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Prokuroria e Pergjithshme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800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785,000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979,000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29</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Zyra e Administrimit Buxhetit Gjyqesor</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1,230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940,000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1,234,000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30</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Gjykata Kushtetuese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45</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52,500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75,000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53</w:t>
            </w:r>
          </w:p>
        </w:tc>
        <w:tc>
          <w:tcPr>
            <w:tcW w:w="2584"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Komisioni   i Letrave me  Vlera</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15</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23,000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55</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Shkolla e Magjistratures</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22</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19,500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51,500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63</w:t>
            </w:r>
          </w:p>
        </w:tc>
        <w:tc>
          <w:tcPr>
            <w:tcW w:w="2584"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color w:val="000000"/>
                <w:lang w:val="it-IT"/>
              </w:rPr>
            </w:pPr>
            <w:r w:rsidRPr="002D7AC2">
              <w:rPr>
                <w:color w:val="000000"/>
                <w:lang w:val="it-IT"/>
              </w:rPr>
              <w:t>Keshilli  i Larte i Drejtesise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48</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57,000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76,886</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66</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Avokati  i Popullit</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45</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72,000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67</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Komisioni  i Sherbimit Civil</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28</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31,900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36,100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73</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Komisioni Qendror  i Zgjedhjeve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68,500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510,800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76</w:t>
            </w:r>
          </w:p>
        </w:tc>
        <w:tc>
          <w:tcPr>
            <w:tcW w:w="2584"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 xml:space="preserve">Inspektoriati i Larte Kontrollit te Deklarimit te Pasurive </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35</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50,000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79,000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77</w:t>
            </w:r>
          </w:p>
        </w:tc>
        <w:tc>
          <w:tcPr>
            <w:tcW w:w="2584" w:type="pct"/>
            <w:tcBorders>
              <w:top w:val="nil"/>
              <w:left w:val="nil"/>
              <w:bottom w:val="dashed" w:sz="4" w:space="0" w:color="auto"/>
              <w:right w:val="nil"/>
            </w:tcBorders>
            <w:shd w:val="clear" w:color="auto" w:fill="auto"/>
            <w:vAlign w:val="bottom"/>
          </w:tcPr>
          <w:p w:rsidR="001D2FC8" w:rsidRPr="00400470" w:rsidRDefault="001D2FC8" w:rsidP="001D2FC8">
            <w:pPr>
              <w:pStyle w:val="Tabele"/>
              <w:rPr>
                <w:color w:val="000000"/>
              </w:rPr>
            </w:pPr>
            <w:r w:rsidRPr="00400470">
              <w:rPr>
                <w:color w:val="000000"/>
              </w:rPr>
              <w:t>Autoriteti i Konkurences</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22,000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34,000</w:t>
            </w:r>
          </w:p>
        </w:tc>
      </w:tr>
      <w:tr w:rsidR="001D2FC8" w:rsidRPr="00400470">
        <w:trPr>
          <w:trHeight w:val="255"/>
        </w:trPr>
        <w:tc>
          <w:tcPr>
            <w:tcW w:w="495" w:type="pct"/>
            <w:tcBorders>
              <w:top w:val="nil"/>
              <w:left w:val="double" w:sz="6" w:space="0" w:color="auto"/>
              <w:bottom w:val="dashed" w:sz="4" w:space="0" w:color="auto"/>
              <w:right w:val="single" w:sz="4" w:space="0" w:color="auto"/>
            </w:tcBorders>
            <w:shd w:val="clear" w:color="auto" w:fill="auto"/>
            <w:vAlign w:val="bottom"/>
          </w:tcPr>
          <w:p w:rsidR="001D2FC8" w:rsidRPr="00400470" w:rsidRDefault="001D2FC8" w:rsidP="001D2FC8">
            <w:pPr>
              <w:pStyle w:val="Tabele"/>
              <w:rPr>
                <w:color w:val="000000"/>
              </w:rPr>
            </w:pPr>
            <w:r w:rsidRPr="00400470">
              <w:rPr>
                <w:color w:val="000000"/>
              </w:rPr>
              <w:t>79</w:t>
            </w:r>
          </w:p>
        </w:tc>
        <w:tc>
          <w:tcPr>
            <w:tcW w:w="2584" w:type="pct"/>
            <w:tcBorders>
              <w:top w:val="nil"/>
              <w:left w:val="nil"/>
              <w:bottom w:val="dashed" w:sz="4" w:space="0" w:color="auto"/>
              <w:right w:val="nil"/>
            </w:tcBorders>
            <w:shd w:val="clear" w:color="auto" w:fill="auto"/>
            <w:vAlign w:val="bottom"/>
          </w:tcPr>
          <w:p w:rsidR="001D2FC8" w:rsidRPr="001D2FC8" w:rsidRDefault="001D2FC8" w:rsidP="001D2FC8">
            <w:pPr>
              <w:pStyle w:val="Tabele"/>
              <w:rPr>
                <w:color w:val="000000"/>
                <w:lang w:val="de-DE"/>
              </w:rPr>
            </w:pPr>
            <w:r w:rsidRPr="001D2FC8">
              <w:rPr>
                <w:color w:val="000000"/>
                <w:lang w:val="de-DE"/>
              </w:rPr>
              <w:t>Komiteti Shteteror i Kthimit dhe Kompensimit te Pronave</w:t>
            </w:r>
          </w:p>
        </w:tc>
        <w:tc>
          <w:tcPr>
            <w:tcW w:w="689" w:type="pct"/>
            <w:tcBorders>
              <w:top w:val="nil"/>
              <w:left w:val="single" w:sz="4" w:space="0" w:color="auto"/>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160</w:t>
            </w:r>
          </w:p>
        </w:tc>
        <w:tc>
          <w:tcPr>
            <w:tcW w:w="616" w:type="pct"/>
            <w:tcBorders>
              <w:top w:val="nil"/>
              <w:left w:val="nil"/>
              <w:bottom w:val="dotted" w:sz="4" w:space="0" w:color="auto"/>
              <w:right w:val="single" w:sz="4" w:space="0" w:color="auto"/>
            </w:tcBorders>
            <w:shd w:val="clear" w:color="auto" w:fill="auto"/>
            <w:noWrap/>
            <w:vAlign w:val="bottom"/>
          </w:tcPr>
          <w:p w:rsidR="001D2FC8" w:rsidRPr="00400470" w:rsidRDefault="001D2FC8" w:rsidP="001D2FC8">
            <w:pPr>
              <w:pStyle w:val="Tabele"/>
            </w:pPr>
            <w:r w:rsidRPr="00400470">
              <w:t>150,000</w:t>
            </w:r>
          </w:p>
        </w:tc>
        <w:tc>
          <w:tcPr>
            <w:tcW w:w="616" w:type="pct"/>
            <w:tcBorders>
              <w:top w:val="nil"/>
              <w:left w:val="nil"/>
              <w:bottom w:val="dotted" w:sz="4" w:space="0" w:color="auto"/>
              <w:right w:val="double" w:sz="6" w:space="0" w:color="auto"/>
            </w:tcBorders>
            <w:shd w:val="clear" w:color="auto" w:fill="auto"/>
            <w:noWrap/>
            <w:vAlign w:val="bottom"/>
          </w:tcPr>
          <w:p w:rsidR="001D2FC8" w:rsidRPr="00400470" w:rsidRDefault="001D2FC8" w:rsidP="001D2FC8">
            <w:pPr>
              <w:pStyle w:val="Tabele"/>
            </w:pPr>
            <w:r w:rsidRPr="00400470">
              <w:t>495,000</w:t>
            </w:r>
          </w:p>
        </w:tc>
      </w:tr>
      <w:tr w:rsidR="001D2FC8" w:rsidRPr="00400470">
        <w:trPr>
          <w:trHeight w:val="270"/>
        </w:trPr>
        <w:tc>
          <w:tcPr>
            <w:tcW w:w="495" w:type="pct"/>
            <w:tcBorders>
              <w:top w:val="nil"/>
              <w:left w:val="double" w:sz="6" w:space="0" w:color="auto"/>
              <w:bottom w:val="double" w:sz="6" w:space="0" w:color="auto"/>
              <w:right w:val="single" w:sz="4" w:space="0" w:color="auto"/>
            </w:tcBorders>
            <w:shd w:val="clear" w:color="auto" w:fill="auto"/>
            <w:noWrap/>
            <w:vAlign w:val="bottom"/>
          </w:tcPr>
          <w:p w:rsidR="001D2FC8" w:rsidRPr="00400470" w:rsidRDefault="001D2FC8" w:rsidP="001D2FC8">
            <w:pPr>
              <w:pStyle w:val="Tabele"/>
              <w:rPr>
                <w:b/>
                <w:bCs/>
                <w:color w:val="000000"/>
              </w:rPr>
            </w:pPr>
            <w:r w:rsidRPr="00400470">
              <w:rPr>
                <w:b/>
                <w:bCs/>
                <w:color w:val="000000"/>
              </w:rPr>
              <w:t> </w:t>
            </w:r>
          </w:p>
        </w:tc>
        <w:tc>
          <w:tcPr>
            <w:tcW w:w="2584" w:type="pct"/>
            <w:tcBorders>
              <w:top w:val="nil"/>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color w:val="000000"/>
              </w:rPr>
            </w:pPr>
            <w:r w:rsidRPr="00400470">
              <w:rPr>
                <w:b/>
                <w:bCs/>
                <w:color w:val="000000"/>
              </w:rPr>
              <w:t> </w:t>
            </w:r>
          </w:p>
        </w:tc>
        <w:tc>
          <w:tcPr>
            <w:tcW w:w="689" w:type="pct"/>
            <w:tcBorders>
              <w:top w:val="nil"/>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rPr>
            </w:pPr>
            <w:r w:rsidRPr="00400470">
              <w:rPr>
                <w:b/>
                <w:bCs/>
              </w:rPr>
              <w:t> </w:t>
            </w:r>
          </w:p>
        </w:tc>
        <w:tc>
          <w:tcPr>
            <w:tcW w:w="616" w:type="pct"/>
            <w:tcBorders>
              <w:top w:val="nil"/>
              <w:left w:val="nil"/>
              <w:bottom w:val="double" w:sz="6" w:space="0" w:color="auto"/>
              <w:right w:val="single" w:sz="4" w:space="0" w:color="auto"/>
            </w:tcBorders>
            <w:shd w:val="clear" w:color="auto" w:fill="auto"/>
            <w:noWrap/>
            <w:vAlign w:val="bottom"/>
          </w:tcPr>
          <w:p w:rsidR="001D2FC8" w:rsidRPr="00400470" w:rsidRDefault="001D2FC8" w:rsidP="001D2FC8">
            <w:pPr>
              <w:pStyle w:val="Tabele"/>
              <w:rPr>
                <w:b/>
                <w:bCs/>
              </w:rPr>
            </w:pPr>
            <w:r w:rsidRPr="00400470">
              <w:rPr>
                <w:b/>
                <w:bCs/>
              </w:rPr>
              <w:t> </w:t>
            </w:r>
          </w:p>
        </w:tc>
        <w:tc>
          <w:tcPr>
            <w:tcW w:w="616" w:type="pct"/>
            <w:tcBorders>
              <w:top w:val="nil"/>
              <w:left w:val="nil"/>
              <w:bottom w:val="double" w:sz="6" w:space="0" w:color="auto"/>
              <w:right w:val="double" w:sz="6" w:space="0" w:color="auto"/>
            </w:tcBorders>
            <w:shd w:val="clear" w:color="auto" w:fill="auto"/>
            <w:noWrap/>
            <w:vAlign w:val="bottom"/>
          </w:tcPr>
          <w:p w:rsidR="001D2FC8" w:rsidRPr="00400470" w:rsidRDefault="001D2FC8" w:rsidP="001D2FC8">
            <w:pPr>
              <w:pStyle w:val="Tabele"/>
              <w:rPr>
                <w:b/>
                <w:bCs/>
              </w:rPr>
            </w:pPr>
            <w:r w:rsidRPr="00400470">
              <w:rPr>
                <w:b/>
                <w:bCs/>
              </w:rPr>
              <w:t> </w:t>
            </w:r>
          </w:p>
        </w:tc>
      </w:tr>
    </w:tbl>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p w:rsidR="001D2FC8" w:rsidRDefault="001D2FC8" w:rsidP="001D2FC8">
      <w:pPr>
        <w:pStyle w:val="Paragrafi"/>
      </w:pPr>
    </w:p>
    <w:tbl>
      <w:tblPr>
        <w:tblW w:w="5224" w:type="pct"/>
        <w:tblLayout w:type="fixed"/>
        <w:tblLook w:val="0000" w:firstRow="0" w:lastRow="0" w:firstColumn="0" w:lastColumn="0" w:noHBand="0" w:noVBand="0"/>
      </w:tblPr>
      <w:tblGrid>
        <w:gridCol w:w="781"/>
        <w:gridCol w:w="4244"/>
        <w:gridCol w:w="1131"/>
        <w:gridCol w:w="962"/>
        <w:gridCol w:w="1131"/>
        <w:gridCol w:w="1453"/>
      </w:tblGrid>
      <w:tr w:rsidR="001D2FC8" w:rsidRPr="00CD16BC">
        <w:trPr>
          <w:trHeight w:val="270"/>
        </w:trPr>
        <w:tc>
          <w:tcPr>
            <w:tcW w:w="402" w:type="pct"/>
            <w:tcBorders>
              <w:top w:val="nil"/>
              <w:left w:val="nil"/>
              <w:bottom w:val="nil"/>
              <w:right w:val="nil"/>
            </w:tcBorders>
            <w:shd w:val="clear" w:color="auto" w:fill="auto"/>
            <w:noWrap/>
            <w:vAlign w:val="bottom"/>
          </w:tcPr>
          <w:p w:rsidR="001D2FC8" w:rsidRPr="00CD16BC" w:rsidRDefault="001D2FC8" w:rsidP="001D2FC8">
            <w:pPr>
              <w:pStyle w:val="Tabele"/>
            </w:pPr>
            <w:r>
              <w:t>Tab.2</w:t>
            </w:r>
          </w:p>
        </w:tc>
        <w:tc>
          <w:tcPr>
            <w:tcW w:w="2187" w:type="pct"/>
            <w:tcBorders>
              <w:top w:val="nil"/>
              <w:left w:val="nil"/>
              <w:bottom w:val="nil"/>
              <w:right w:val="nil"/>
            </w:tcBorders>
            <w:shd w:val="clear" w:color="auto" w:fill="auto"/>
            <w:noWrap/>
            <w:vAlign w:val="bottom"/>
          </w:tcPr>
          <w:p w:rsidR="001D2FC8" w:rsidRPr="00CD16BC" w:rsidRDefault="001D2FC8" w:rsidP="001D2FC8">
            <w:pPr>
              <w:pStyle w:val="Tabele"/>
            </w:pP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p>
        </w:tc>
        <w:tc>
          <w:tcPr>
            <w:tcW w:w="496" w:type="pct"/>
            <w:tcBorders>
              <w:top w:val="nil"/>
              <w:left w:val="nil"/>
              <w:bottom w:val="nil"/>
              <w:right w:val="nil"/>
            </w:tcBorders>
            <w:shd w:val="clear" w:color="auto" w:fill="auto"/>
            <w:noWrap/>
            <w:vAlign w:val="bottom"/>
          </w:tcPr>
          <w:p w:rsidR="001D2FC8" w:rsidRPr="00CD16BC" w:rsidRDefault="001D2FC8" w:rsidP="001D2FC8">
            <w:pPr>
              <w:pStyle w:val="Tabele"/>
            </w:pP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p>
        </w:tc>
        <w:tc>
          <w:tcPr>
            <w:tcW w:w="749" w:type="pct"/>
            <w:tcBorders>
              <w:top w:val="nil"/>
              <w:left w:val="nil"/>
              <w:bottom w:val="nil"/>
              <w:right w:val="nil"/>
            </w:tcBorders>
            <w:shd w:val="clear" w:color="auto" w:fill="auto"/>
            <w:noWrap/>
            <w:vAlign w:val="bottom"/>
          </w:tcPr>
          <w:p w:rsidR="001D2FC8" w:rsidRPr="00CD16BC" w:rsidRDefault="001D2FC8" w:rsidP="001D2FC8">
            <w:pPr>
              <w:pStyle w:val="Tabele"/>
              <w:rPr>
                <w:b/>
                <w:bCs/>
              </w:rPr>
            </w:pPr>
            <w:r w:rsidRPr="00CD16BC">
              <w:rPr>
                <w:b/>
                <w:bCs/>
              </w:rPr>
              <w:t>ne 000 Lek</w:t>
            </w:r>
          </w:p>
        </w:tc>
      </w:tr>
      <w:tr w:rsidR="001D2FC8" w:rsidRPr="00CD16BC">
        <w:trPr>
          <w:trHeight w:val="630"/>
        </w:trPr>
        <w:tc>
          <w:tcPr>
            <w:tcW w:w="402" w:type="pct"/>
            <w:tcBorders>
              <w:top w:val="double" w:sz="6" w:space="0" w:color="auto"/>
              <w:left w:val="double" w:sz="6" w:space="0" w:color="auto"/>
              <w:bottom w:val="single"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Kodmin</w:t>
            </w:r>
          </w:p>
        </w:tc>
        <w:tc>
          <w:tcPr>
            <w:tcW w:w="2187" w:type="pct"/>
            <w:tcBorders>
              <w:top w:val="double" w:sz="6" w:space="0" w:color="auto"/>
              <w:left w:val="nil"/>
              <w:bottom w:val="single" w:sz="4" w:space="0" w:color="auto"/>
              <w:right w:val="single" w:sz="4" w:space="0" w:color="auto"/>
            </w:tcBorders>
            <w:shd w:val="clear" w:color="auto" w:fill="auto"/>
            <w:vAlign w:val="bottom"/>
          </w:tcPr>
          <w:p w:rsidR="001D2FC8" w:rsidRPr="00CD16BC" w:rsidRDefault="001D2FC8" w:rsidP="001D2FC8">
            <w:pPr>
              <w:pStyle w:val="Tabele"/>
              <w:rPr>
                <w:b/>
                <w:bCs/>
              </w:rPr>
            </w:pPr>
            <w:r w:rsidRPr="00CD16BC">
              <w:rPr>
                <w:b/>
                <w:bCs/>
              </w:rPr>
              <w:t>Investimet e vitit 2006 sipas Ministrive dhe Institucioneve (ne 000 Lek)</w:t>
            </w:r>
          </w:p>
        </w:tc>
        <w:tc>
          <w:tcPr>
            <w:tcW w:w="583" w:type="pct"/>
            <w:tcBorders>
              <w:top w:val="double" w:sz="6" w:space="0" w:color="auto"/>
              <w:left w:val="nil"/>
              <w:bottom w:val="single" w:sz="4" w:space="0" w:color="auto"/>
              <w:right w:val="single" w:sz="4" w:space="0" w:color="auto"/>
            </w:tcBorders>
            <w:shd w:val="clear" w:color="auto" w:fill="auto"/>
            <w:vAlign w:val="bottom"/>
          </w:tcPr>
          <w:p w:rsidR="001D2FC8" w:rsidRPr="00CD16BC" w:rsidRDefault="001D2FC8" w:rsidP="001D2FC8">
            <w:pPr>
              <w:pStyle w:val="Tabele"/>
              <w:rPr>
                <w:b/>
                <w:bCs/>
              </w:rPr>
            </w:pPr>
            <w:r w:rsidRPr="00CD16BC">
              <w:rPr>
                <w:b/>
                <w:bCs/>
              </w:rPr>
              <w:t>Nga</w:t>
            </w:r>
            <w:r w:rsidRPr="00CD16BC">
              <w:rPr>
                <w:b/>
                <w:bCs/>
              </w:rPr>
              <w:br/>
              <w:t>Buxheti</w:t>
            </w:r>
          </w:p>
        </w:tc>
        <w:tc>
          <w:tcPr>
            <w:tcW w:w="496" w:type="pct"/>
            <w:tcBorders>
              <w:top w:val="double" w:sz="6" w:space="0" w:color="auto"/>
              <w:left w:val="nil"/>
              <w:bottom w:val="single" w:sz="4" w:space="0" w:color="auto"/>
              <w:right w:val="single" w:sz="4" w:space="0" w:color="auto"/>
            </w:tcBorders>
            <w:shd w:val="clear" w:color="auto" w:fill="auto"/>
            <w:vAlign w:val="bottom"/>
          </w:tcPr>
          <w:p w:rsidR="001D2FC8" w:rsidRPr="00CD16BC" w:rsidRDefault="001D2FC8" w:rsidP="001D2FC8">
            <w:pPr>
              <w:pStyle w:val="Tabele"/>
              <w:rPr>
                <w:b/>
                <w:bCs/>
              </w:rPr>
            </w:pPr>
            <w:r w:rsidRPr="00CD16BC">
              <w:rPr>
                <w:b/>
                <w:bCs/>
              </w:rPr>
              <w:t xml:space="preserve">Nga te </w:t>
            </w:r>
            <w:r w:rsidRPr="00CD16BC">
              <w:rPr>
                <w:b/>
                <w:bCs/>
              </w:rPr>
              <w:br/>
              <w:t>Ardhurat</w:t>
            </w:r>
          </w:p>
        </w:tc>
        <w:tc>
          <w:tcPr>
            <w:tcW w:w="583" w:type="pct"/>
            <w:tcBorders>
              <w:top w:val="double" w:sz="6" w:space="0" w:color="auto"/>
              <w:left w:val="nil"/>
              <w:bottom w:val="single" w:sz="4" w:space="0" w:color="auto"/>
              <w:right w:val="single" w:sz="4" w:space="0" w:color="auto"/>
            </w:tcBorders>
            <w:shd w:val="clear" w:color="auto" w:fill="auto"/>
            <w:vAlign w:val="bottom"/>
          </w:tcPr>
          <w:p w:rsidR="001D2FC8" w:rsidRPr="00CD16BC" w:rsidRDefault="001D2FC8" w:rsidP="001D2FC8">
            <w:pPr>
              <w:pStyle w:val="Tabele"/>
              <w:rPr>
                <w:b/>
                <w:bCs/>
              </w:rPr>
            </w:pPr>
            <w:r w:rsidRPr="00CD16BC">
              <w:rPr>
                <w:b/>
                <w:bCs/>
              </w:rPr>
              <w:t>Financimi</w:t>
            </w:r>
            <w:r w:rsidRPr="00CD16BC">
              <w:rPr>
                <w:b/>
                <w:bCs/>
              </w:rPr>
              <w:br/>
              <w:t>Huaj</w:t>
            </w:r>
          </w:p>
        </w:tc>
        <w:tc>
          <w:tcPr>
            <w:tcW w:w="749" w:type="pct"/>
            <w:tcBorders>
              <w:top w:val="double" w:sz="6" w:space="0" w:color="auto"/>
              <w:left w:val="nil"/>
              <w:bottom w:val="single"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Totali</w:t>
            </w:r>
          </w:p>
        </w:tc>
      </w:tr>
      <w:tr w:rsidR="001D2FC8" w:rsidRPr="00CD16BC">
        <w:trPr>
          <w:trHeight w:val="255"/>
        </w:trPr>
        <w:tc>
          <w:tcPr>
            <w:tcW w:w="402" w:type="pct"/>
            <w:tcBorders>
              <w:top w:val="nil"/>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w:t>
            </w:r>
          </w:p>
        </w:tc>
        <w:tc>
          <w:tcPr>
            <w:tcW w:w="2187" w:type="pct"/>
            <w:tcBorders>
              <w:top w:val="nil"/>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Presidenca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nil"/>
              <w:left w:val="nil"/>
              <w:bottom w:val="dashed" w:sz="4" w:space="0" w:color="auto"/>
              <w:right w:val="nil"/>
            </w:tcBorders>
            <w:shd w:val="clear" w:color="auto" w:fill="auto"/>
            <w:vAlign w:val="bottom"/>
          </w:tcPr>
          <w:p w:rsidR="001D2FC8" w:rsidRPr="00CD16BC" w:rsidRDefault="001D2FC8" w:rsidP="001D2FC8">
            <w:pPr>
              <w:pStyle w:val="Tabele"/>
              <w:rPr>
                <w:color w:val="000000"/>
              </w:rPr>
            </w:pPr>
            <w:r w:rsidRPr="00CD16BC">
              <w:rPr>
                <w:color w:val="000000"/>
              </w:rPr>
              <w:t>Planifikimi, Menaxhimi dhe Administrimi</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w:t>
            </w:r>
          </w:p>
        </w:tc>
        <w:tc>
          <w:tcPr>
            <w:tcW w:w="2187" w:type="pct"/>
            <w:tcBorders>
              <w:top w:val="nil"/>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Kuvendi</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175,000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175,000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175,000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175,000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3</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Keshilli Ministrave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162,400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495,000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657,400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75,000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Administrata Publike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87,400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495,000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582,400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4</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b/>
                <w:bCs/>
                <w:lang w:val="de-DE"/>
              </w:rPr>
            </w:pPr>
            <w:r w:rsidRPr="001D2FC8">
              <w:rPr>
                <w:b/>
                <w:bCs/>
                <w:lang w:val="de-DE"/>
              </w:rPr>
              <w:t>Ministria e Ekonomise, Tregtise dhe Energjitikes</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361,800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7,200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3,575,000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3,944,000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lastRenderedPageBreak/>
              <w:t>011</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55,300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1,275,000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1,332,300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092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Mbeshtetje per Energjine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2,300,000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2,320,000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113</w:t>
            </w:r>
          </w:p>
        </w:tc>
        <w:tc>
          <w:tcPr>
            <w:tcW w:w="2187" w:type="pct"/>
            <w:tcBorders>
              <w:top w:val="nil"/>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lang w:val="de-DE"/>
              </w:rPr>
            </w:pPr>
            <w:r w:rsidRPr="001D2FC8">
              <w:rPr>
                <w:lang w:val="de-DE"/>
              </w:rPr>
              <w:t>Mbesht. Gjeoshkenc e te tjera</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210,200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114</w:t>
            </w:r>
          </w:p>
        </w:tc>
        <w:tc>
          <w:tcPr>
            <w:tcW w:w="2187" w:type="pct"/>
            <w:tcBorders>
              <w:top w:val="nil"/>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lang w:val="de-DE"/>
              </w:rPr>
            </w:pPr>
            <w:r w:rsidRPr="001D2FC8">
              <w:rPr>
                <w:lang w:val="de-DE"/>
              </w:rPr>
              <w:t>Mbesht. Miniera e Nd/je Publike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80,000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133</w:t>
            </w:r>
          </w:p>
        </w:tc>
        <w:tc>
          <w:tcPr>
            <w:tcW w:w="2187"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Mbeshtetje e Zhvill. Ekonomik</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b/>
                <w:bCs/>
                <w:lang w:val="it-IT"/>
              </w:rPr>
            </w:pPr>
            <w:r w:rsidRPr="002D7AC2">
              <w:rPr>
                <w:b/>
                <w:bCs/>
                <w:lang w:val="it-IT"/>
              </w:rPr>
              <w:t>Ministria e Bujqesise, Ushqimit dhe Mrojtjes se Konsumatorit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1,231,934</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23,200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1,715,500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2,970,634</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1D2FC8">
              <w:rPr>
                <w:lang w:val="de-DE"/>
              </w:rPr>
              <w:t xml:space="preserve">Sherbimet e Insp. Bujq. Sig Ushq. e Mbr. </w:t>
            </w:r>
            <w:r w:rsidRPr="00CD16BC">
              <w:t>Konsum.</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37,500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222,000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261,500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104</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Infrastruktura e Ujitjes dhe Kullimit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821,154</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20,500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1,102,500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1,944,154</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Mbesh.e prodh. Bujq, blek, agroind, dhe market.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301,280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383,000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684,280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106</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Kerkimi dhe Ekstensioni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10,700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107</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Menaxhimi i burimeve natyrore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108</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Zhvillimi i Integruar Rural</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13,000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6</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Ministria e Puneve Publike, Transportit dhe Telekomunikacionit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23,956,810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14,190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7,146,500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31,117,500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Rrjeti i rrugeve nacionale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19,638,484</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3,621,000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23,259,484</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Manaxhimi I Transportit Rrugor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14,460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15,960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Portet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254,430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500,000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754,430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Hekurudhat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226,000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226,000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126</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Aviacioni Civil</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61,200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61,200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077</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Ujesjelles Kanalizime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2,648,286</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12,690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2,697,900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5,358,876</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078</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Strehimi dhe Urbanistika</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612,950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327,600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940,550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139</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Infrastruktura Turisitke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486,000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486,000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070</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publike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9</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Regjistrimi  i Pasurive te Paluajtshme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100,000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100,000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10</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 xml:space="preserve">Ministria e Financave </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68,000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20,960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88,960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68,000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20,960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88,960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Zbatimi i Vendimeve Gjyqesore</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Pagesa te menjehershme</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Mbeshtetje e Institucioneve Financiare</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single" w:sz="4" w:space="0" w:color="auto"/>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11</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Ministria e Arsimit dhe Shkences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2,921,309</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610,000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1,218,000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4,749,309</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60,500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50,000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114,500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 Baze (perfshire parashkollorin)</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1,566,309</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658,000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2,224,309</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043</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Arsimi i Mesem (i pergjithshem)</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635,000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350,000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985,000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 i  Mesem (profesional)</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362,500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90,000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456,500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 Universitar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192,000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600,000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70,000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862,000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046</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 xml:space="preserve">Programet Ars. dhe Trainimi i Mesuesve </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7,000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047</w:t>
            </w:r>
          </w:p>
        </w:tc>
        <w:tc>
          <w:tcPr>
            <w:tcW w:w="2187"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Fonde per Shkencen</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100,000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12</w:t>
            </w:r>
          </w:p>
        </w:tc>
        <w:tc>
          <w:tcPr>
            <w:tcW w:w="2187" w:type="pct"/>
            <w:tcBorders>
              <w:top w:val="dashed" w:sz="4" w:space="0" w:color="auto"/>
              <w:left w:val="nil"/>
              <w:bottom w:val="dashed" w:sz="4" w:space="0" w:color="auto"/>
              <w:right w:val="nil"/>
            </w:tcBorders>
            <w:shd w:val="clear" w:color="auto" w:fill="auto"/>
            <w:vAlign w:val="bottom"/>
          </w:tcPr>
          <w:p w:rsidR="001D2FC8" w:rsidRPr="001D2FC8" w:rsidRDefault="001D2FC8" w:rsidP="001D2FC8">
            <w:pPr>
              <w:pStyle w:val="Tabele"/>
              <w:rPr>
                <w:b/>
                <w:bCs/>
                <w:color w:val="000000"/>
                <w:lang w:val="de-DE"/>
              </w:rPr>
            </w:pPr>
            <w:r w:rsidRPr="001D2FC8">
              <w:rPr>
                <w:b/>
                <w:bCs/>
                <w:color w:val="000000"/>
                <w:lang w:val="de-DE"/>
              </w:rPr>
              <w:t>Ministria e Turizmit, Kultures, Rinise dhe Sporteve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415,300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22,000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237,000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674,300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14,000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Trashegimia Kulturore, Muzete, Bibliotekat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216,897</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226,897</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 xml:space="preserve">Arti dhe Kultura </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98,693</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237,000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339,693</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Zhvillimi i Sportit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79,747</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79,747</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Programe specifike kulturore dhe te turizmit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5,963</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12,963</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13</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Ministria e Shendetesise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1,872,305</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53,000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1,480,000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3,405,305</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40,170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47,170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052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e Kujdesit Paresor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418,033</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385,000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814,033</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053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e Kujdesit Dytesor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1,386,002</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25,000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1,095,000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2,506,002</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055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e Shendetit Publik</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28,100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38,100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14</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Ministria e Drejtesise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403,500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1,500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1,125,750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1,530,750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94,200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528,750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622,950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Publikimet Zyrtare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42,500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42,800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Mjekesia Ligjore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034</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Drejtoria e Pergjithshme e Burgjeve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298,000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554,500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852,500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Sherbimi i Permbarimit Gjyqesor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3,000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016</w:t>
            </w:r>
          </w:p>
        </w:tc>
        <w:tc>
          <w:tcPr>
            <w:tcW w:w="2187"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Sherbimet per çeshtjet e biresimeve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15</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Ministria e Puneve te Jashtme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90,000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90,000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 xml:space="preserve"> Perfaqesite Diplomatike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16</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Ministria e Brendshme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302,146</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199,854</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531,250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1,033,250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49,238</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49,238</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 dhe Shkenca (Akademia)</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8,054</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8,054</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Kulture dhe Sport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034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Policia e Shtetit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180,606</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181,300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491,250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853,156</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035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Garda e Republikes</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22,302</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22,302</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016</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Prefekturat dhe Funksionet e Deleguara te P. Vendor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10,500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017</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Gjendja Civile ne Prefektura dhe Keshillat Lokale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30,000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038</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Policia e Mbrojtjes nga Zjarri (M.N.Z.)</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129</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Mbeshtetje per infrastrukturen urbane dhe rurale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40,000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140</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Emergjencat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17</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Ministria e Mbrojtjes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1,686,682</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625,388</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2,312,070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022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Sigurimi i Mbrojtjes</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1,527,019</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556,677</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2,083,696</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158,394</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158,394</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054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Shendetesia</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51,200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51,200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Kulture e Sport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026</w:t>
            </w:r>
          </w:p>
        </w:tc>
        <w:tc>
          <w:tcPr>
            <w:tcW w:w="2187" w:type="pct"/>
            <w:tcBorders>
              <w:top w:val="nil"/>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lang w:val="de-DE"/>
              </w:rPr>
            </w:pPr>
            <w:r w:rsidRPr="001D2FC8">
              <w:rPr>
                <w:lang w:val="de-DE"/>
              </w:rPr>
              <w:t>Mbesht.teknike e pune shkencore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1,269</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2,511</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3,780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067</w:t>
            </w:r>
          </w:p>
        </w:tc>
        <w:tc>
          <w:tcPr>
            <w:tcW w:w="2187"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Mbeshtetje Sociale per Ushtaraket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18</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Sherbimi Informativ Shteteror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19,935</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65</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16,818</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16,818</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042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Arsimi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3,117</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65</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3,182</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19</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Drejtoria e Radio Televizionit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 xml:space="preserve"> Sherbimet per shqiptaret jashte kufirit dhe sherbimi per te huajt ne gjuhe huaj + Sateliti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082</w:t>
            </w:r>
          </w:p>
        </w:tc>
        <w:tc>
          <w:tcPr>
            <w:tcW w:w="2187" w:type="pct"/>
            <w:tcBorders>
              <w:top w:val="nil"/>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lang w:val="de-DE"/>
              </w:rPr>
            </w:pPr>
            <w:r w:rsidRPr="001D2FC8">
              <w:rPr>
                <w:lang w:val="de-DE"/>
              </w:rPr>
              <w:t>Projekte teknike per futjen e teknologjive te reja</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083</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 xml:space="preserve">Prodhime filmike ose veprimtari artistike </w:t>
            </w:r>
            <w:r w:rsidRPr="002D7AC2">
              <w:rPr>
                <w:lang w:val="it-IT"/>
              </w:rPr>
              <w:br/>
              <w:t>mbarekombetare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084</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Orkestra Simfonike e RTSH dhe Kinematografise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20</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Pergjithshme e Arkivave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59,000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59,000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21</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Rezervave te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5,000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22</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Akademia e Shkences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8,000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70,000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8,000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24</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Kontrolli Larte  i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15,000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25</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Ministria e Punes, Ceshtjeve Sociale dhe Shanseve te Barabarta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240,900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6,300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431,000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678,200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43,000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062</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Sigurimi Shoqeror</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063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Mbrojtja Sociale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064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e Kujdesit Social</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132,800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431,000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564,100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065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Sherbimet e Punesimit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66,100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71,100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26</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Ministria e Mjedisit, Pyjeve dhe Administrimit te Ujrave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183,420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135,580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438,686</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757,686</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1,080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16,080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072</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Programe per mbrojtjen e Mjedisit</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23,260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183,186</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206,446</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103</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Mbeshtetje per Peshkimin</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38,500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107,500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146,000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104</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Administrimi i Ujrave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105</w:t>
            </w:r>
          </w:p>
        </w:tc>
        <w:tc>
          <w:tcPr>
            <w:tcW w:w="2187"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Administrimi i Pyjeve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106,660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134,500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148,000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389,160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27</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Agjensia Kombetare e Privatizimit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28</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Prokuroria e Pergjithshme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59,000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59,000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29</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Zyra e Administrimit Buxhetit Gjygjsor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99,900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100,000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031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99,900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100,000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30</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Gjykata Kushtetuese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2,500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2,500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31</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Agjensia Telegrafike Shqiptare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35</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Pergjithshme e Doganave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166,200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166,200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166,200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166,200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37</w:t>
            </w:r>
          </w:p>
        </w:tc>
        <w:tc>
          <w:tcPr>
            <w:tcW w:w="2187" w:type="pct"/>
            <w:tcBorders>
              <w:top w:val="nil"/>
              <w:left w:val="nil"/>
              <w:bottom w:val="nil"/>
              <w:right w:val="nil"/>
            </w:tcBorders>
            <w:shd w:val="clear" w:color="auto" w:fill="auto"/>
            <w:noWrap/>
            <w:vAlign w:val="bottom"/>
          </w:tcPr>
          <w:p w:rsidR="001D2FC8" w:rsidRPr="002D7AC2" w:rsidRDefault="001D2FC8" w:rsidP="001D2FC8">
            <w:pPr>
              <w:pStyle w:val="Tabele"/>
              <w:rPr>
                <w:b/>
                <w:bCs/>
                <w:lang w:val="it-IT"/>
              </w:rPr>
            </w:pPr>
            <w:r w:rsidRPr="002D7AC2">
              <w:rPr>
                <w:b/>
                <w:bCs/>
                <w:lang w:val="it-IT"/>
              </w:rPr>
              <w:t>Drejtoria e Pergjithshme e Standartizimit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1,800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1,800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40</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Partite Politike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0</w:t>
            </w:r>
          </w:p>
        </w:tc>
      </w:tr>
      <w:tr w:rsidR="001D2FC8" w:rsidRPr="00CD16BC">
        <w:trPr>
          <w:trHeight w:val="255"/>
        </w:trPr>
        <w:tc>
          <w:tcPr>
            <w:tcW w:w="402" w:type="pct"/>
            <w:tcBorders>
              <w:top w:val="nil"/>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41</w:t>
            </w:r>
          </w:p>
        </w:tc>
        <w:tc>
          <w:tcPr>
            <w:tcW w:w="2187" w:type="pct"/>
            <w:tcBorders>
              <w:top w:val="nil"/>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Pergjithshme e Tatimeve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127,900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127,900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127,900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127,900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48</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Metrologjise dhe Kalibrimit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5,000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50</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Instituti Statistikes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 xml:space="preserve">Projekti Repoba (rregj i Pop.e Banesave) </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53</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Komisioni   i Letrave me  Vlera</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1,000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55</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Shkolla e Magjistratures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3,000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3,000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3,000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56</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Fondi  i Zhvillimit Shqiptar</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545,000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1,694,567</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2,239,567</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071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Programe Zhvillimi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545,000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1,694,567</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2,239,567</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57</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Qendra Kombetare e Kinematografise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59</w:t>
            </w:r>
          </w:p>
        </w:tc>
        <w:tc>
          <w:tcPr>
            <w:tcW w:w="2187" w:type="pct"/>
            <w:tcBorders>
              <w:top w:val="dashed" w:sz="4" w:space="0" w:color="auto"/>
              <w:left w:val="nil"/>
              <w:bottom w:val="dashed" w:sz="4" w:space="0" w:color="auto"/>
              <w:right w:val="nil"/>
            </w:tcBorders>
            <w:shd w:val="clear" w:color="auto" w:fill="auto"/>
            <w:vAlign w:val="bottom"/>
          </w:tcPr>
          <w:p w:rsidR="001D2FC8" w:rsidRPr="001D2FC8" w:rsidRDefault="001D2FC8" w:rsidP="001D2FC8">
            <w:pPr>
              <w:pStyle w:val="Tabele"/>
              <w:rPr>
                <w:b/>
                <w:bCs/>
                <w:color w:val="000000"/>
                <w:lang w:val="de-DE"/>
              </w:rPr>
            </w:pPr>
            <w:r w:rsidRPr="001D2FC8">
              <w:rPr>
                <w:b/>
                <w:bCs/>
                <w:color w:val="000000"/>
                <w:lang w:val="de-DE"/>
              </w:rPr>
              <w:t>Instituti  I Integrimit te Perndjekurve Politik</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2D7AC2" w:rsidRDefault="001D2FC8" w:rsidP="001D2FC8">
            <w:pPr>
              <w:pStyle w:val="Tabele"/>
              <w:rPr>
                <w:lang w:val="it-IT"/>
              </w:rPr>
            </w:pPr>
            <w:r w:rsidRPr="002D7AC2">
              <w:rPr>
                <w:lang w:val="it-IT"/>
              </w:rPr>
              <w:t>Rehabilitimi  i te Perndjekurve Politik</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63</w:t>
            </w:r>
          </w:p>
        </w:tc>
        <w:tc>
          <w:tcPr>
            <w:tcW w:w="2187" w:type="pct"/>
            <w:tcBorders>
              <w:top w:val="dashed" w:sz="4" w:space="0" w:color="auto"/>
              <w:left w:val="nil"/>
              <w:bottom w:val="dashed" w:sz="4" w:space="0" w:color="auto"/>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Keshilli  i Larte i Drejtesise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4,886</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4,886</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4,886</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4,886</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66</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Avokati  i Popullit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5,000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67</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Komisioni  i Sherbimit Civil</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500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500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500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73</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Komisioni Qendror  i Zgjedhjeve</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6,300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6,300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6,300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6,300</w:t>
            </w:r>
          </w:p>
        </w:tc>
      </w:tr>
      <w:tr w:rsidR="001D2FC8" w:rsidRPr="00CD16BC">
        <w:trPr>
          <w:trHeight w:val="255"/>
        </w:trPr>
        <w:tc>
          <w:tcPr>
            <w:tcW w:w="402" w:type="pct"/>
            <w:tcBorders>
              <w:top w:val="nil"/>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012</w:t>
            </w:r>
          </w:p>
        </w:tc>
        <w:tc>
          <w:tcPr>
            <w:tcW w:w="2187" w:type="pct"/>
            <w:tcBorders>
              <w:top w:val="nil"/>
              <w:left w:val="nil"/>
              <w:bottom w:val="dotted" w:sz="4" w:space="0" w:color="auto"/>
              <w:right w:val="single" w:sz="4" w:space="0" w:color="auto"/>
            </w:tcBorders>
            <w:shd w:val="clear" w:color="auto" w:fill="auto"/>
            <w:noWrap/>
            <w:vAlign w:val="bottom"/>
          </w:tcPr>
          <w:p w:rsidR="001D2FC8" w:rsidRPr="001D2FC8" w:rsidRDefault="001D2FC8" w:rsidP="001D2FC8">
            <w:pPr>
              <w:pStyle w:val="Tabele"/>
              <w:rPr>
                <w:lang w:val="de-DE"/>
              </w:rPr>
            </w:pPr>
            <w:r w:rsidRPr="001D2FC8">
              <w:rPr>
                <w:lang w:val="de-DE"/>
              </w:rPr>
              <w:t>Zgjedhjet e pergjithshme dhe lokale</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75</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Avokati i Shtetit</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4,000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4,000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4,000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4,000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76</w:t>
            </w:r>
          </w:p>
        </w:tc>
        <w:tc>
          <w:tcPr>
            <w:tcW w:w="2187" w:type="pct"/>
            <w:tcBorders>
              <w:top w:val="dashed" w:sz="4" w:space="0" w:color="auto"/>
              <w:left w:val="nil"/>
              <w:bottom w:val="dashed" w:sz="4" w:space="0" w:color="auto"/>
              <w:right w:val="nil"/>
            </w:tcBorders>
            <w:shd w:val="clear" w:color="auto" w:fill="auto"/>
            <w:vAlign w:val="bottom"/>
          </w:tcPr>
          <w:p w:rsidR="001D2FC8" w:rsidRPr="001D2FC8" w:rsidRDefault="001D2FC8" w:rsidP="001D2FC8">
            <w:pPr>
              <w:pStyle w:val="Tabele"/>
              <w:rPr>
                <w:b/>
                <w:bCs/>
                <w:color w:val="000000"/>
                <w:lang w:val="de-DE"/>
              </w:rPr>
            </w:pPr>
            <w:r w:rsidRPr="001D2FC8">
              <w:rPr>
                <w:b/>
                <w:bCs/>
                <w:color w:val="000000"/>
                <w:lang w:val="de-DE"/>
              </w:rPr>
              <w:t xml:space="preserve">Inspektoriati i Larte Kontrollit te Deklarimit te Pasurive </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7,000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7,000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7,000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7,000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77</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Autoriteti i Konkurences</w:t>
            </w:r>
          </w:p>
        </w:tc>
        <w:tc>
          <w:tcPr>
            <w:tcW w:w="583" w:type="pct"/>
            <w:tcBorders>
              <w:top w:val="nil"/>
              <w:left w:val="single" w:sz="4"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nil"/>
              <w:left w:val="nil"/>
              <w:bottom w:val="dott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2,000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2,000</w:t>
            </w:r>
          </w:p>
        </w:tc>
        <w:tc>
          <w:tcPr>
            <w:tcW w:w="496" w:type="pct"/>
            <w:tcBorders>
              <w:top w:val="nil"/>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dotted" w:sz="4" w:space="0" w:color="auto"/>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dotted" w:sz="4" w:space="0" w:color="auto"/>
              <w:right w:val="double" w:sz="6" w:space="0" w:color="auto"/>
            </w:tcBorders>
            <w:shd w:val="clear" w:color="auto" w:fill="auto"/>
            <w:noWrap/>
            <w:vAlign w:val="bottom"/>
          </w:tcPr>
          <w:p w:rsidR="001D2FC8" w:rsidRPr="00CD16BC" w:rsidRDefault="001D2FC8" w:rsidP="001D2FC8">
            <w:pPr>
              <w:pStyle w:val="Tabele"/>
            </w:pPr>
            <w:r w:rsidRPr="00CD16BC">
              <w:t>2,000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78</w:t>
            </w:r>
          </w:p>
        </w:tc>
        <w:tc>
          <w:tcPr>
            <w:tcW w:w="2187" w:type="pct"/>
            <w:tcBorders>
              <w:top w:val="dashed" w:sz="4" w:space="0" w:color="auto"/>
              <w:left w:val="nil"/>
              <w:bottom w:val="dashed" w:sz="4" w:space="0" w:color="auto"/>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Ministria e Integrimit</w:t>
            </w:r>
          </w:p>
        </w:tc>
        <w:tc>
          <w:tcPr>
            <w:tcW w:w="583" w:type="pct"/>
            <w:tcBorders>
              <w:top w:val="nil"/>
              <w:left w:val="single" w:sz="4" w:space="0" w:color="auto"/>
              <w:bottom w:val="nil"/>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10,040</w:t>
            </w:r>
          </w:p>
        </w:tc>
        <w:tc>
          <w:tcPr>
            <w:tcW w:w="496"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3,125</w:t>
            </w:r>
          </w:p>
        </w:tc>
        <w:tc>
          <w:tcPr>
            <w:tcW w:w="749" w:type="pct"/>
            <w:tcBorders>
              <w:top w:val="nil"/>
              <w:left w:val="nil"/>
              <w:bottom w:val="nil"/>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13,165</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dashed" w:sz="4" w:space="0" w:color="auto"/>
              <w:left w:val="nil"/>
              <w:bottom w:val="nil"/>
              <w:right w:val="single" w:sz="4" w:space="0" w:color="auto"/>
            </w:tcBorders>
            <w:shd w:val="clear" w:color="auto" w:fill="auto"/>
            <w:noWrap/>
            <w:vAlign w:val="bottom"/>
          </w:tcPr>
          <w:p w:rsidR="001D2FC8" w:rsidRPr="00CD16BC" w:rsidRDefault="001D2FC8" w:rsidP="001D2FC8">
            <w:pPr>
              <w:pStyle w:val="Tabele"/>
            </w:pPr>
            <w:r w:rsidRPr="00CD16BC">
              <w:t>10,040</w:t>
            </w:r>
          </w:p>
        </w:tc>
        <w:tc>
          <w:tcPr>
            <w:tcW w:w="496" w:type="pct"/>
            <w:tcBorders>
              <w:top w:val="dashed" w:sz="4" w:space="0" w:color="auto"/>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dashed" w:sz="4" w:space="0" w:color="auto"/>
              <w:left w:val="nil"/>
              <w:bottom w:val="nil"/>
              <w:right w:val="nil"/>
            </w:tcBorders>
            <w:shd w:val="clear" w:color="auto" w:fill="auto"/>
            <w:noWrap/>
            <w:vAlign w:val="bottom"/>
          </w:tcPr>
          <w:p w:rsidR="001D2FC8" w:rsidRPr="00CD16BC" w:rsidRDefault="001D2FC8" w:rsidP="001D2FC8">
            <w:pPr>
              <w:pStyle w:val="Tabele"/>
            </w:pPr>
            <w:r w:rsidRPr="00CD16BC">
              <w:t>3,125</w:t>
            </w:r>
          </w:p>
        </w:tc>
        <w:tc>
          <w:tcPr>
            <w:tcW w:w="749" w:type="pct"/>
            <w:tcBorders>
              <w:top w:val="dashed" w:sz="4" w:space="0" w:color="auto"/>
              <w:left w:val="single" w:sz="4" w:space="0" w:color="auto"/>
              <w:bottom w:val="nil"/>
              <w:right w:val="double" w:sz="6" w:space="0" w:color="auto"/>
            </w:tcBorders>
            <w:shd w:val="clear" w:color="auto" w:fill="auto"/>
            <w:noWrap/>
            <w:vAlign w:val="bottom"/>
          </w:tcPr>
          <w:p w:rsidR="001D2FC8" w:rsidRPr="00CD16BC" w:rsidRDefault="001D2FC8" w:rsidP="001D2FC8">
            <w:pPr>
              <w:pStyle w:val="Tabele"/>
            </w:pPr>
            <w:r w:rsidRPr="00CD16BC">
              <w:t>13,165</w:t>
            </w:r>
          </w:p>
        </w:tc>
      </w:tr>
      <w:tr w:rsidR="001D2FC8" w:rsidRPr="00CD16BC">
        <w:trPr>
          <w:trHeight w:val="28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79</w:t>
            </w:r>
          </w:p>
        </w:tc>
        <w:tc>
          <w:tcPr>
            <w:tcW w:w="2187" w:type="pct"/>
            <w:tcBorders>
              <w:top w:val="nil"/>
              <w:left w:val="nil"/>
              <w:bottom w:val="nil"/>
              <w:right w:val="nil"/>
            </w:tcBorders>
            <w:shd w:val="clear" w:color="auto" w:fill="auto"/>
            <w:vAlign w:val="bottom"/>
          </w:tcPr>
          <w:p w:rsidR="001D2FC8" w:rsidRPr="001D2FC8" w:rsidRDefault="001D2FC8" w:rsidP="001D2FC8">
            <w:pPr>
              <w:pStyle w:val="Tabele"/>
              <w:rPr>
                <w:b/>
                <w:bCs/>
                <w:color w:val="000000"/>
                <w:lang w:val="de-DE"/>
              </w:rPr>
            </w:pPr>
            <w:r w:rsidRPr="001D2FC8">
              <w:rPr>
                <w:b/>
                <w:bCs/>
                <w:color w:val="000000"/>
                <w:lang w:val="de-DE"/>
              </w:rPr>
              <w:t>Komiteti Shteteror i Kthimit dhe Kompensimit te Pronave</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17,000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17,000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17,000</w:t>
            </w:r>
          </w:p>
        </w:tc>
        <w:tc>
          <w:tcPr>
            <w:tcW w:w="496"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 </w:t>
            </w:r>
          </w:p>
        </w:tc>
        <w:tc>
          <w:tcPr>
            <w:tcW w:w="749" w:type="pct"/>
            <w:tcBorders>
              <w:top w:val="nil"/>
              <w:left w:val="single" w:sz="4" w:space="0" w:color="auto"/>
              <w:bottom w:val="nil"/>
              <w:right w:val="double" w:sz="6" w:space="0" w:color="auto"/>
            </w:tcBorders>
            <w:shd w:val="clear" w:color="auto" w:fill="auto"/>
            <w:noWrap/>
            <w:vAlign w:val="bottom"/>
          </w:tcPr>
          <w:p w:rsidR="001D2FC8" w:rsidRPr="00CD16BC" w:rsidRDefault="001D2FC8" w:rsidP="001D2FC8">
            <w:pPr>
              <w:pStyle w:val="Tabele"/>
            </w:pPr>
            <w:r w:rsidRPr="00CD16BC">
              <w:t>17,000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82</w:t>
            </w:r>
          </w:p>
        </w:tc>
        <w:tc>
          <w:tcPr>
            <w:tcW w:w="2187" w:type="pct"/>
            <w:tcBorders>
              <w:top w:val="nil"/>
              <w:left w:val="nil"/>
              <w:bottom w:val="nil"/>
              <w:right w:val="nil"/>
            </w:tcBorders>
            <w:shd w:val="clear" w:color="auto" w:fill="auto"/>
            <w:vAlign w:val="bottom"/>
          </w:tcPr>
          <w:p w:rsidR="001D2FC8" w:rsidRPr="00CD16BC" w:rsidRDefault="001D2FC8" w:rsidP="001D2FC8">
            <w:pPr>
              <w:pStyle w:val="Tabele"/>
              <w:rPr>
                <w:b/>
                <w:bCs/>
                <w:color w:val="000000"/>
              </w:rPr>
            </w:pPr>
            <w:r w:rsidRPr="00CD16BC">
              <w:rPr>
                <w:b/>
                <w:bCs/>
                <w:color w:val="000000"/>
              </w:rPr>
              <w:t>Keshilli Kombetar Kontabilitetit</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nil"/>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55"/>
        </w:trPr>
        <w:tc>
          <w:tcPr>
            <w:tcW w:w="402" w:type="pct"/>
            <w:tcBorders>
              <w:top w:val="dashed" w:sz="4" w:space="0" w:color="auto"/>
              <w:left w:val="double" w:sz="6" w:space="0" w:color="auto"/>
              <w:bottom w:val="dashed" w:sz="4" w:space="0" w:color="auto"/>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83</w:t>
            </w:r>
          </w:p>
        </w:tc>
        <w:tc>
          <w:tcPr>
            <w:tcW w:w="2187" w:type="pct"/>
            <w:tcBorders>
              <w:top w:val="nil"/>
              <w:left w:val="nil"/>
              <w:bottom w:val="nil"/>
              <w:right w:val="nil"/>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Drejtoria e Pergjithshme e Parandalimit te Pastrimit te Parave</w:t>
            </w:r>
          </w:p>
        </w:tc>
        <w:tc>
          <w:tcPr>
            <w:tcW w:w="583" w:type="pct"/>
            <w:tcBorders>
              <w:top w:val="dashed" w:sz="4" w:space="0" w:color="auto"/>
              <w:left w:val="single" w:sz="4" w:space="0" w:color="auto"/>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3,000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3,000</w:t>
            </w:r>
          </w:p>
        </w:tc>
      </w:tr>
      <w:tr w:rsidR="001D2FC8" w:rsidRPr="00CD16BC">
        <w:trPr>
          <w:trHeight w:val="255"/>
        </w:trPr>
        <w:tc>
          <w:tcPr>
            <w:tcW w:w="402" w:type="pct"/>
            <w:tcBorders>
              <w:top w:val="dotted" w:sz="4" w:space="0" w:color="auto"/>
              <w:left w:val="double" w:sz="6" w:space="0" w:color="auto"/>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dotted" w:sz="4" w:space="0" w:color="auto"/>
              <w:left w:val="nil"/>
              <w:bottom w:val="dotted" w:sz="4" w:space="0" w:color="auto"/>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3,000</w:t>
            </w:r>
          </w:p>
        </w:tc>
        <w:tc>
          <w:tcPr>
            <w:tcW w:w="496"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nil"/>
              <w:right w:val="double" w:sz="6" w:space="0" w:color="auto"/>
            </w:tcBorders>
            <w:shd w:val="clear" w:color="auto" w:fill="auto"/>
            <w:noWrap/>
            <w:vAlign w:val="bottom"/>
          </w:tcPr>
          <w:p w:rsidR="001D2FC8" w:rsidRPr="00CD16BC" w:rsidRDefault="001D2FC8" w:rsidP="001D2FC8">
            <w:pPr>
              <w:pStyle w:val="Tabele"/>
            </w:pPr>
            <w:r w:rsidRPr="00CD16BC">
              <w:t>3,000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vAlign w:val="bottom"/>
          </w:tcPr>
          <w:p w:rsidR="001D2FC8" w:rsidRPr="00CD16BC" w:rsidRDefault="001D2FC8" w:rsidP="001D2FC8">
            <w:pPr>
              <w:pStyle w:val="Tabele"/>
              <w:rPr>
                <w:b/>
                <w:bCs/>
                <w:color w:val="000000"/>
              </w:rPr>
            </w:pPr>
            <w:r w:rsidRPr="00CD16BC">
              <w:rPr>
                <w:b/>
                <w:bCs/>
                <w:color w:val="000000"/>
              </w:rPr>
              <w:t>84</w:t>
            </w:r>
          </w:p>
        </w:tc>
        <w:tc>
          <w:tcPr>
            <w:tcW w:w="2187" w:type="pct"/>
            <w:tcBorders>
              <w:top w:val="nil"/>
              <w:left w:val="nil"/>
              <w:bottom w:val="dotted" w:sz="4" w:space="0" w:color="auto"/>
              <w:right w:val="single" w:sz="4" w:space="0" w:color="auto"/>
            </w:tcBorders>
            <w:shd w:val="clear" w:color="auto" w:fill="auto"/>
            <w:vAlign w:val="bottom"/>
          </w:tcPr>
          <w:p w:rsidR="001D2FC8" w:rsidRPr="002D7AC2" w:rsidRDefault="001D2FC8" w:rsidP="001D2FC8">
            <w:pPr>
              <w:pStyle w:val="Tabele"/>
              <w:rPr>
                <w:b/>
                <w:bCs/>
                <w:color w:val="000000"/>
                <w:lang w:val="it-IT"/>
              </w:rPr>
            </w:pPr>
            <w:r w:rsidRPr="002D7AC2">
              <w:rPr>
                <w:b/>
                <w:bCs/>
                <w:color w:val="000000"/>
                <w:lang w:val="it-IT"/>
              </w:rPr>
              <w:t>Inspektorati i Instituteve Private te Pensioneve Suplementare</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496"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583" w:type="pct"/>
            <w:tcBorders>
              <w:top w:val="dashed" w:sz="4" w:space="0" w:color="auto"/>
              <w:left w:val="nil"/>
              <w:bottom w:val="dashed" w:sz="4"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0</w:t>
            </w:r>
          </w:p>
        </w:tc>
        <w:tc>
          <w:tcPr>
            <w:tcW w:w="749" w:type="pct"/>
            <w:tcBorders>
              <w:top w:val="dashed" w:sz="4" w:space="0" w:color="auto"/>
              <w:left w:val="nil"/>
              <w:bottom w:val="dashed" w:sz="4"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0</w:t>
            </w:r>
          </w:p>
        </w:tc>
      </w:tr>
      <w:tr w:rsidR="001D2FC8" w:rsidRPr="00CD16BC">
        <w:trPr>
          <w:trHeight w:val="255"/>
        </w:trPr>
        <w:tc>
          <w:tcPr>
            <w:tcW w:w="402" w:type="pct"/>
            <w:tcBorders>
              <w:top w:val="nil"/>
              <w:left w:val="double" w:sz="6" w:space="0" w:color="auto"/>
              <w:bottom w:val="nil"/>
              <w:right w:val="single" w:sz="4" w:space="0" w:color="auto"/>
            </w:tcBorders>
            <w:shd w:val="clear" w:color="auto" w:fill="auto"/>
            <w:noWrap/>
            <w:vAlign w:val="bottom"/>
          </w:tcPr>
          <w:p w:rsidR="001D2FC8" w:rsidRPr="00CD16BC" w:rsidRDefault="001D2FC8" w:rsidP="001D2FC8">
            <w:pPr>
              <w:pStyle w:val="Tabele"/>
            </w:pPr>
            <w:r w:rsidRPr="00CD16BC">
              <w:t>011</w:t>
            </w:r>
          </w:p>
        </w:tc>
        <w:tc>
          <w:tcPr>
            <w:tcW w:w="2187"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Planifikimi, Menaxhimi dhe Administrimi</w:t>
            </w:r>
          </w:p>
        </w:tc>
        <w:tc>
          <w:tcPr>
            <w:tcW w:w="583"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496" w:type="pct"/>
            <w:tcBorders>
              <w:top w:val="nil"/>
              <w:left w:val="nil"/>
              <w:bottom w:val="nil"/>
              <w:right w:val="single" w:sz="4" w:space="0" w:color="auto"/>
            </w:tcBorders>
            <w:shd w:val="clear" w:color="auto" w:fill="auto"/>
            <w:noWrap/>
            <w:vAlign w:val="bottom"/>
          </w:tcPr>
          <w:p w:rsidR="001D2FC8" w:rsidRPr="00CD16BC" w:rsidRDefault="001D2FC8" w:rsidP="001D2FC8">
            <w:pPr>
              <w:pStyle w:val="Tabele"/>
            </w:pPr>
            <w:r w:rsidRPr="00CD16BC">
              <w:t>0</w:t>
            </w:r>
          </w:p>
        </w:tc>
        <w:tc>
          <w:tcPr>
            <w:tcW w:w="583" w:type="pct"/>
            <w:tcBorders>
              <w:top w:val="nil"/>
              <w:left w:val="nil"/>
              <w:bottom w:val="nil"/>
              <w:right w:val="nil"/>
            </w:tcBorders>
            <w:shd w:val="clear" w:color="auto" w:fill="auto"/>
            <w:noWrap/>
            <w:vAlign w:val="bottom"/>
          </w:tcPr>
          <w:p w:rsidR="001D2FC8" w:rsidRPr="00CD16BC" w:rsidRDefault="001D2FC8" w:rsidP="001D2FC8">
            <w:pPr>
              <w:pStyle w:val="Tabele"/>
            </w:pPr>
            <w:r w:rsidRPr="00CD16BC">
              <w:t>0</w:t>
            </w:r>
          </w:p>
        </w:tc>
        <w:tc>
          <w:tcPr>
            <w:tcW w:w="749" w:type="pct"/>
            <w:tcBorders>
              <w:top w:val="nil"/>
              <w:left w:val="single" w:sz="4" w:space="0" w:color="auto"/>
              <w:bottom w:val="nil"/>
              <w:right w:val="double" w:sz="6" w:space="0" w:color="auto"/>
            </w:tcBorders>
            <w:shd w:val="clear" w:color="auto" w:fill="auto"/>
            <w:noWrap/>
            <w:vAlign w:val="bottom"/>
          </w:tcPr>
          <w:p w:rsidR="001D2FC8" w:rsidRPr="00CD16BC" w:rsidRDefault="001D2FC8" w:rsidP="001D2FC8">
            <w:pPr>
              <w:pStyle w:val="Tabele"/>
            </w:pPr>
            <w:r w:rsidRPr="00CD16BC">
              <w:t>0</w:t>
            </w:r>
          </w:p>
        </w:tc>
      </w:tr>
      <w:tr w:rsidR="001D2FC8" w:rsidRPr="00CD16BC">
        <w:trPr>
          <w:trHeight w:val="270"/>
        </w:trPr>
        <w:tc>
          <w:tcPr>
            <w:tcW w:w="402" w:type="pct"/>
            <w:tcBorders>
              <w:top w:val="single" w:sz="4" w:space="0" w:color="auto"/>
              <w:left w:val="double" w:sz="6" w:space="0" w:color="auto"/>
              <w:bottom w:val="double" w:sz="6" w:space="0" w:color="auto"/>
              <w:right w:val="single" w:sz="4" w:space="0" w:color="auto"/>
            </w:tcBorders>
            <w:shd w:val="clear" w:color="auto" w:fill="auto"/>
            <w:noWrap/>
            <w:vAlign w:val="bottom"/>
          </w:tcPr>
          <w:p w:rsidR="001D2FC8" w:rsidRPr="00CD16BC" w:rsidRDefault="001D2FC8" w:rsidP="001D2FC8">
            <w:pPr>
              <w:pStyle w:val="Tabele"/>
              <w:rPr>
                <w:b/>
                <w:bCs/>
                <w:color w:val="000000"/>
              </w:rPr>
            </w:pPr>
            <w:r w:rsidRPr="00CD16BC">
              <w:rPr>
                <w:b/>
                <w:bCs/>
                <w:color w:val="000000"/>
              </w:rPr>
              <w:t> </w:t>
            </w:r>
          </w:p>
        </w:tc>
        <w:tc>
          <w:tcPr>
            <w:tcW w:w="2187" w:type="pct"/>
            <w:tcBorders>
              <w:top w:val="single" w:sz="4" w:space="0" w:color="auto"/>
              <w:left w:val="nil"/>
              <w:bottom w:val="double" w:sz="6" w:space="0" w:color="auto"/>
              <w:right w:val="single" w:sz="4" w:space="0" w:color="auto"/>
            </w:tcBorders>
            <w:shd w:val="clear" w:color="auto" w:fill="auto"/>
            <w:noWrap/>
            <w:vAlign w:val="bottom"/>
          </w:tcPr>
          <w:p w:rsidR="001D2FC8" w:rsidRPr="00CD16BC" w:rsidRDefault="001D2FC8" w:rsidP="001D2FC8">
            <w:pPr>
              <w:pStyle w:val="Tabele"/>
              <w:rPr>
                <w:b/>
                <w:bCs/>
                <w:color w:val="000000"/>
              </w:rPr>
            </w:pPr>
            <w:r w:rsidRPr="00CD16BC">
              <w:rPr>
                <w:b/>
                <w:bCs/>
                <w:color w:val="000000"/>
              </w:rPr>
              <w:t>Totali</w:t>
            </w:r>
          </w:p>
        </w:tc>
        <w:tc>
          <w:tcPr>
            <w:tcW w:w="583" w:type="pct"/>
            <w:tcBorders>
              <w:top w:val="single" w:sz="4" w:space="0" w:color="auto"/>
              <w:left w:val="nil"/>
              <w:bottom w:val="double" w:sz="6"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35,030,367</w:t>
            </w:r>
          </w:p>
        </w:tc>
        <w:tc>
          <w:tcPr>
            <w:tcW w:w="496" w:type="pct"/>
            <w:tcBorders>
              <w:top w:val="single" w:sz="4" w:space="0" w:color="auto"/>
              <w:left w:val="nil"/>
              <w:bottom w:val="double" w:sz="6"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2,110,677</w:t>
            </w:r>
          </w:p>
        </w:tc>
        <w:tc>
          <w:tcPr>
            <w:tcW w:w="583" w:type="pct"/>
            <w:tcBorders>
              <w:top w:val="single" w:sz="4" w:space="0" w:color="auto"/>
              <w:left w:val="nil"/>
              <w:bottom w:val="double" w:sz="6" w:space="0" w:color="auto"/>
              <w:right w:val="single" w:sz="4" w:space="0" w:color="auto"/>
            </w:tcBorders>
            <w:shd w:val="clear" w:color="auto" w:fill="auto"/>
            <w:noWrap/>
            <w:vAlign w:val="bottom"/>
          </w:tcPr>
          <w:p w:rsidR="001D2FC8" w:rsidRPr="00CD16BC" w:rsidRDefault="001D2FC8" w:rsidP="001D2FC8">
            <w:pPr>
              <w:pStyle w:val="Tabele"/>
              <w:rPr>
                <w:b/>
                <w:bCs/>
              </w:rPr>
            </w:pPr>
            <w:r w:rsidRPr="00CD16BC">
              <w:rPr>
                <w:b/>
                <w:bCs/>
              </w:rPr>
              <w:t>20,122,338</w:t>
            </w:r>
          </w:p>
        </w:tc>
        <w:tc>
          <w:tcPr>
            <w:tcW w:w="749" w:type="pct"/>
            <w:tcBorders>
              <w:top w:val="single" w:sz="4" w:space="0" w:color="auto"/>
              <w:left w:val="nil"/>
              <w:bottom w:val="double" w:sz="6" w:space="0" w:color="auto"/>
              <w:right w:val="double" w:sz="6" w:space="0" w:color="auto"/>
            </w:tcBorders>
            <w:shd w:val="clear" w:color="auto" w:fill="auto"/>
            <w:noWrap/>
            <w:vAlign w:val="bottom"/>
          </w:tcPr>
          <w:p w:rsidR="001D2FC8" w:rsidRPr="00CD16BC" w:rsidRDefault="001D2FC8" w:rsidP="001D2FC8">
            <w:pPr>
              <w:pStyle w:val="Tabele"/>
              <w:rPr>
                <w:b/>
                <w:bCs/>
              </w:rPr>
            </w:pPr>
            <w:r w:rsidRPr="00CD16BC">
              <w:rPr>
                <w:b/>
                <w:bCs/>
              </w:rPr>
              <w:t>57,263,382</w:t>
            </w:r>
          </w:p>
        </w:tc>
      </w:tr>
    </w:tbl>
    <w:p w:rsidR="001D2FC8" w:rsidRDefault="001D2FC8" w:rsidP="001D2FC8">
      <w:pPr>
        <w:pStyle w:val="Paragrafi"/>
      </w:pPr>
    </w:p>
    <w:p w:rsidR="001D2FC8" w:rsidRDefault="001D2FC8" w:rsidP="001D2FC8">
      <w:pPr>
        <w:pStyle w:val="Akti"/>
        <w:keepNext w:val="0"/>
      </w:pPr>
    </w:p>
    <w:p w:rsidR="001D2FC8" w:rsidRDefault="001D2FC8" w:rsidP="001D2FC8">
      <w:pPr>
        <w:pStyle w:val="Akti"/>
        <w:keepNext w:val="0"/>
      </w:pPr>
    </w:p>
    <w:p w:rsidR="001D2FC8" w:rsidRDefault="001D2FC8" w:rsidP="001D2FC8">
      <w:pPr>
        <w:pStyle w:val="Akti"/>
        <w:keepNext w:val="0"/>
        <w:jc w:val="left"/>
      </w:pPr>
    </w:p>
    <w:sectPr w:rsidR="001D2F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2FC8"/>
    <w:rsid w:val="001D7C94"/>
    <w:rsid w:val="001E3F0B"/>
    <w:rsid w:val="0022170D"/>
    <w:rsid w:val="002542F9"/>
    <w:rsid w:val="002C6BAB"/>
    <w:rsid w:val="002D303F"/>
    <w:rsid w:val="00304413"/>
    <w:rsid w:val="00354A65"/>
    <w:rsid w:val="00383FD5"/>
    <w:rsid w:val="0038599E"/>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DD6DE4-6592-4208-86EC-4FC17AC0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FC8"/>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2885</Words>
  <Characters>16447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