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1FA" w:rsidRPr="00CC485F" w:rsidRDefault="00CF21FA" w:rsidP="00CF21F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C485F">
        <w:rPr>
          <w:sz w:val="21"/>
          <w:szCs w:val="21"/>
        </w:rPr>
        <w:t>Akt normativ</w:t>
      </w:r>
    </w:p>
    <w:p w:rsidR="00CF21FA" w:rsidRPr="00CC485F" w:rsidRDefault="00CF21FA" w:rsidP="00CF21FA">
      <w:pPr>
        <w:pStyle w:val="NumriData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Nr.4, datë 14.12.2011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Titulli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Për një ndryshim në ligjin nr.10 355, datë 2.12.2010 “Për buxhetin e vitit 2011”, të ndryshuar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Në mbështetje të nenit 101 të Kushtetutës, me propozimin e Ministrit të Financave, Këshilli i Ministrave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VENDOSI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Vendosi: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NeniNr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Neni 1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Neni 18</w:t>
      </w:r>
      <w:r w:rsidRPr="00CC485F">
        <w:rPr>
          <w:sz w:val="21"/>
          <w:szCs w:val="21"/>
          <w:lang w:val="sq-AL"/>
        </w:rPr>
        <w:t xml:space="preserve"> i ligjit nr.10 355, datë 2.12.2010 “Për buxhetin e viti</w:t>
      </w:r>
      <w:r>
        <w:rPr>
          <w:sz w:val="21"/>
          <w:szCs w:val="21"/>
          <w:lang w:val="sq-AL"/>
        </w:rPr>
        <w:t>t</w:t>
      </w:r>
      <w:r w:rsidRPr="00CC485F">
        <w:rPr>
          <w:sz w:val="21"/>
          <w:szCs w:val="21"/>
          <w:lang w:val="sq-AL"/>
        </w:rPr>
        <w:t xml:space="preserve"> 2011”, të ndryshuar, ndryshohet, si më poshtë vijon: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NeniNr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“Neni 18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Kufiri për rritjen vjetore të totalit ekzistues të borxhit të shte</w:t>
      </w:r>
      <w:r>
        <w:rPr>
          <w:sz w:val="21"/>
          <w:szCs w:val="21"/>
          <w:lang w:val="sq-AL"/>
        </w:rPr>
        <w:t>t</w:t>
      </w:r>
      <w:r w:rsidRPr="00CC485F">
        <w:rPr>
          <w:sz w:val="21"/>
          <w:szCs w:val="21"/>
          <w:lang w:val="sq-AL"/>
        </w:rPr>
        <w:t>it dhe atij të garantuar të shtetit, në dobi të palëve të treta përfituese</w:t>
      </w:r>
      <w:r>
        <w:rPr>
          <w:sz w:val="21"/>
          <w:szCs w:val="21"/>
          <w:lang w:val="sq-AL"/>
        </w:rPr>
        <w:t>, p</w:t>
      </w:r>
      <w:r w:rsidRPr="00CC485F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r</w:t>
      </w:r>
      <w:r w:rsidRPr="00CC485F">
        <w:rPr>
          <w:sz w:val="21"/>
          <w:szCs w:val="21"/>
          <w:lang w:val="sq-AL"/>
        </w:rPr>
        <w:t xml:space="preserve"> vitit 2011, është 84 690 milionë lekë, i detajuar, si më poshtë vijon: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1. Për huamarrjen vjetore neto, deri në 29 312 milionë lekë.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2. Për huamarrjen neto për financimin e projekteve të huaja, deri në 45 800 milionë lekë.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3. Për rritjen vjetore të garancive të shtetit, në dobi të palëve të treta pë</w:t>
      </w:r>
      <w:r>
        <w:rPr>
          <w:sz w:val="21"/>
          <w:szCs w:val="21"/>
          <w:lang w:val="sq-AL"/>
        </w:rPr>
        <w:t>r</w:t>
      </w:r>
      <w:r w:rsidRPr="00CC485F">
        <w:rPr>
          <w:sz w:val="21"/>
          <w:szCs w:val="21"/>
          <w:lang w:val="sq-AL"/>
        </w:rPr>
        <w:t xml:space="preserve">fituese, deri në 6 926 </w:t>
      </w:r>
      <w:r>
        <w:rPr>
          <w:sz w:val="21"/>
          <w:szCs w:val="21"/>
          <w:lang w:val="sq-AL"/>
        </w:rPr>
        <w:t xml:space="preserve">milionë </w:t>
      </w:r>
      <w:r w:rsidRPr="00CC485F">
        <w:rPr>
          <w:sz w:val="21"/>
          <w:szCs w:val="21"/>
          <w:lang w:val="sq-AL"/>
        </w:rPr>
        <w:t>lekë.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4. Kufiri për rritjen vjetore të stokut të borxhit si rezultat i riskedulimit të borxheve të vjetra të huaja, të papaguara, deri në 2 652 milionë lekë.</w:t>
      </w:r>
      <w:r>
        <w:rPr>
          <w:sz w:val="21"/>
          <w:szCs w:val="21"/>
          <w:lang w:val="sq-AL"/>
        </w:rPr>
        <w:t>”.</w:t>
      </w:r>
    </w:p>
    <w:p w:rsidR="00CF21FA" w:rsidRPr="00CC485F" w:rsidRDefault="00CF21FA" w:rsidP="00CF21FA">
      <w:pPr>
        <w:pStyle w:val="NeniNr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Neni 2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  <w:r w:rsidRPr="00CC485F">
        <w:rPr>
          <w:sz w:val="21"/>
          <w:szCs w:val="21"/>
          <w:lang w:val="sq-AL"/>
        </w:rPr>
        <w:t>Ky akt normativ hyn në fuqi menjëherë dhe botohet në Fletoren Zyrtare.</w:t>
      </w:r>
    </w:p>
    <w:p w:rsidR="00CF21FA" w:rsidRPr="00CC485F" w:rsidRDefault="00CF21FA" w:rsidP="00CF21FA">
      <w:pPr>
        <w:pStyle w:val="Paragrafi"/>
        <w:rPr>
          <w:sz w:val="21"/>
          <w:szCs w:val="21"/>
          <w:lang w:val="sq-AL"/>
        </w:rPr>
      </w:pPr>
    </w:p>
    <w:p w:rsidR="00CF21FA" w:rsidRPr="00CC485F" w:rsidRDefault="00CF21FA" w:rsidP="00CF21FA">
      <w:pPr>
        <w:pStyle w:val="Autoriteti"/>
        <w:keepNext w:val="0"/>
        <w:rPr>
          <w:sz w:val="21"/>
          <w:szCs w:val="21"/>
        </w:rPr>
      </w:pPr>
      <w:r w:rsidRPr="00CC485F">
        <w:rPr>
          <w:sz w:val="21"/>
          <w:szCs w:val="21"/>
        </w:rPr>
        <w:t>Kryeministri</w:t>
      </w:r>
    </w:p>
    <w:p w:rsidR="00477590" w:rsidRDefault="00CF21FA" w:rsidP="00CF21FA">
      <w:pPr>
        <w:pStyle w:val="AutoritetiEmer"/>
      </w:pPr>
      <w:r w:rsidRPr="00CC485F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21FA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F21FA"/>
    <w:rsid w:val="00D5435B"/>
    <w:rsid w:val="00E87C23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C7EBF8-9C0B-4470-9B95-96173896D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1F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F21F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F21F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F21F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F21F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2019-03-19T14:57:00Z</dcterms:created>
  <dcterms:modified xsi:type="dcterms:W3CDTF">2019-03-19T14:57:00Z</dcterms:modified>
</cp:coreProperties>
</file>