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27D" w:rsidRDefault="00C7527D" w:rsidP="00C7527D">
      <w:pPr>
        <w:pStyle w:val="Akti"/>
      </w:pPr>
      <w:bookmarkStart w:id="0" w:name="_GoBack"/>
      <w:bookmarkEnd w:id="0"/>
      <w:r>
        <w:t>Akt normativ</w:t>
      </w:r>
    </w:p>
    <w:p w:rsidR="00C7527D" w:rsidRDefault="00C7527D" w:rsidP="00C7527D">
      <w:pPr>
        <w:pStyle w:val="NumriData"/>
      </w:pPr>
      <w:r>
        <w:t>Nr.5, datë 28.12.2011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Titulli"/>
      </w:pPr>
      <w:r>
        <w:t>Për një ndryshim në ligjin nr.10 418, datë 21.4.2011 “Për legalizimin e kapitalit dhe faljen e një pjese të borxhit tatimor dhe doganor”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BazLigjPropozues"/>
      </w:pPr>
      <w:r>
        <w:t>Në mbështetje të nenit 101 të Kushtetutës, me propozimin e Ministrit të Financave, Këshilli i Ministrave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VENDOSI"/>
      </w:pPr>
      <w:r>
        <w:t>Vendosi: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NeniNr"/>
      </w:pPr>
      <w:r>
        <w:t>Neni 1</w:t>
      </w:r>
    </w:p>
    <w:p w:rsidR="00C7527D" w:rsidRDefault="00C7527D" w:rsidP="00C7527D">
      <w:pPr>
        <w:pStyle w:val="NeniNr"/>
      </w:pP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nenet 23 pika 1 shkronja “b”, dhe 35 të ligjit nr.10 418, datë 21.4.2011 “Për legalizimin e kapitalit dhe faljen e një pjese të borxhit tatimor dhe doganor”, data “... 31 dhjetor 2011 ...” zëvendësohet me “... 31 mars 2012 ...”.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NeniNr"/>
      </w:pPr>
      <w:r>
        <w:t>Neni 2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akt normativ hyn në fuqi menjëherë dhe botohet në Fletoren Zyrtare.</w:t>
      </w:r>
    </w:p>
    <w:p w:rsidR="00C7527D" w:rsidRDefault="00C7527D" w:rsidP="00C7527D">
      <w:pPr>
        <w:pStyle w:val="Paragrafi"/>
        <w:rPr>
          <w:sz w:val="21"/>
          <w:szCs w:val="21"/>
          <w:lang w:val="sq-AL"/>
        </w:rPr>
      </w:pPr>
    </w:p>
    <w:p w:rsidR="00C7527D" w:rsidRDefault="00C7527D" w:rsidP="00C7527D">
      <w:pPr>
        <w:pStyle w:val="Autoriteti"/>
      </w:pPr>
      <w:r>
        <w:t xml:space="preserve">Kryeministri </w:t>
      </w:r>
    </w:p>
    <w:p w:rsidR="00C7527D" w:rsidRDefault="00C7527D" w:rsidP="00C7527D">
      <w:pPr>
        <w:pStyle w:val="AutoritetiEmer"/>
      </w:pPr>
      <w:r>
        <w:t>Sali Berisha</w:t>
      </w:r>
    </w:p>
    <w:sectPr w:rsidR="00C7527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527D"/>
    <w:rsid w:val="000277EF"/>
    <w:rsid w:val="000C2ABA"/>
    <w:rsid w:val="00142F5D"/>
    <w:rsid w:val="001D4B57"/>
    <w:rsid w:val="00443285"/>
    <w:rsid w:val="00477590"/>
    <w:rsid w:val="004A533F"/>
    <w:rsid w:val="00502A85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7527D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6CC8B9-2F7F-423D-A153-C791EB76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7527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7527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7527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7527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