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475A7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AKT NORMATIV</w:t>
      </w:r>
    </w:p>
    <w:p w14:paraId="655475A8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Nr. 14, datë 5.10.2022</w:t>
      </w:r>
    </w:p>
    <w:p w14:paraId="655475A9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5475AA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PËR MARRJEN E MASAVE TË VEÇANTA GJATË KOHËZGJATJES SË GJENDJES SË EMERGJENCËS NË FURNIZIMIN ME ENERGJI ELEKTRIKE</w:t>
      </w:r>
    </w:p>
    <w:p w14:paraId="655475AB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AC" w14:textId="1560640F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 xml:space="preserve">Në mbështetje të nenit 101 të Kushtetutës, me propozimin e </w:t>
      </w:r>
      <w:r w:rsidR="00471D03">
        <w:rPr>
          <w:rFonts w:ascii="Garamond" w:hAnsi="Garamond"/>
          <w:sz w:val="24"/>
          <w:szCs w:val="24"/>
          <w:lang w:val="sq-AL"/>
        </w:rPr>
        <w:t>z</w:t>
      </w:r>
      <w:r w:rsidRPr="00AF2971">
        <w:rPr>
          <w:rFonts w:ascii="Garamond" w:hAnsi="Garamond"/>
          <w:sz w:val="24"/>
          <w:szCs w:val="24"/>
          <w:lang w:val="sq-AL"/>
        </w:rPr>
        <w:t>ëvendëskryeministrit dhe  ministër i Infrastrukturës dhe Energjisë, Këshilli i Ministrave</w:t>
      </w:r>
    </w:p>
    <w:p w14:paraId="655475AD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AE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VENDOSI:</w:t>
      </w:r>
    </w:p>
    <w:p w14:paraId="655475AF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5475B0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Neni 1</w:t>
      </w:r>
    </w:p>
    <w:p w14:paraId="655475B1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Objekti dhe subjektet</w:t>
      </w:r>
    </w:p>
    <w:p w14:paraId="655475B2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55475B3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 xml:space="preserve">1. Objekt i këtij akti normativ është përcaktimi i masave detyruese, që merren gjatë gjendjes së emergjencës në furnizimin me energji elektrike, me qëllim uljen e konsumit të energjisë elektrike. </w:t>
      </w:r>
    </w:p>
    <w:p w14:paraId="655475B5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 xml:space="preserve">2. Subjekt i këtij  akti normativ janë të gjithë klientët familjarë dhe jofamiljarë, publikë dhe privatë të energjisë elektrike. </w:t>
      </w:r>
    </w:p>
    <w:p w14:paraId="655475B6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B7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Neni 2</w:t>
      </w:r>
    </w:p>
    <w:p w14:paraId="655475B8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Qëllimi</w:t>
      </w:r>
    </w:p>
    <w:p w14:paraId="655475B9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BA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 xml:space="preserve">Ky akt normativ ka për qëllim forcimin e zbatimit të masave dhe rregullave të detyrueshme për t’u zbatuar, me qëllim uljen e konsumit të energjisë elektrike, gjatë kohëzgjatjes së gjendjes së emergjencës në furnizimin me energji elektrike. </w:t>
      </w:r>
    </w:p>
    <w:p w14:paraId="655475BB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BC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Neni 3</w:t>
      </w:r>
    </w:p>
    <w:p w14:paraId="655475BD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Termat e përdorur</w:t>
      </w:r>
    </w:p>
    <w:p w14:paraId="655475BE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55475BF" w14:textId="413F6D10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1. Termat e përdorur në këtë akt normativ kanë të njëjtin kuptim me atë të përcaktuar në ligjin nr.</w:t>
      </w:r>
      <w:r w:rsidR="00471D03">
        <w:rPr>
          <w:rFonts w:ascii="Garamond" w:hAnsi="Garamond"/>
          <w:sz w:val="24"/>
          <w:szCs w:val="24"/>
          <w:lang w:val="sq-AL"/>
        </w:rPr>
        <w:t xml:space="preserve"> </w:t>
      </w:r>
      <w:r w:rsidRPr="00AF2971">
        <w:rPr>
          <w:rFonts w:ascii="Garamond" w:hAnsi="Garamond"/>
          <w:sz w:val="24"/>
          <w:szCs w:val="24"/>
          <w:lang w:val="sq-AL"/>
        </w:rPr>
        <w:t>43/2015, “Për sektorin e energjisë elektrike”, të ndryshuar.</w:t>
      </w:r>
    </w:p>
    <w:p w14:paraId="655475C0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 xml:space="preserve">2. “Task-Forca e Energjisë” është struktura e posaçme e ngritur me vendim të Asamblesë së Përgjithshme të OSHEE Group, sh.a.  </w:t>
      </w:r>
    </w:p>
    <w:p w14:paraId="655475C1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C2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Neni 4</w:t>
      </w:r>
    </w:p>
    <w:p w14:paraId="655475C3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Ulja e konsumit nga klientët jofamiljarë publikë</w:t>
      </w:r>
    </w:p>
    <w:p w14:paraId="655475C4" w14:textId="77777777" w:rsidR="007E2973" w:rsidRPr="00AF2971" w:rsidRDefault="007E2973" w:rsidP="007E297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5475C5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 xml:space="preserve">1. Klientët jofamiljarë publikë zbatojnë masat e nevojshme për reduktimin e konsumit të energjisë elektrike të godinave të tyre, në masën 15 % , krahasuar me muajin përkatës të një viti më parë. </w:t>
      </w:r>
    </w:p>
    <w:p w14:paraId="655475C6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2. Titullarët e institucioneve të qeverisjes qendrore, institucioneve të pavarura, institucioneve të varësisë, njësitë e vetëqeverisjes vendore, si dhe administratorët e shoqërive dhe ndërmarrjeve publike caktojnë  me urdhër një nga punonjësit në rolin e administratorit energjetik, i cili është përgjegjës për:</w:t>
      </w:r>
    </w:p>
    <w:p w14:paraId="655475C7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a) raportimin pranë Task-Forcës së Energjisë brenda 7 (shtatë) ditëve nga hyrja në fuqi e këtij akti normativ;</w:t>
      </w:r>
    </w:p>
    <w:p w14:paraId="655475C8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b) verifikimin e të gjitha pajisjeve që konsumojnë energji elektrike në institucion;</w:t>
      </w:r>
    </w:p>
    <w:p w14:paraId="655475C9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c) zbatimin e masave që sjellin reduktimin e energjisë elektrike së konsumuar;</w:t>
      </w:r>
    </w:p>
    <w:p w14:paraId="655475CA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lastRenderedPageBreak/>
        <w:t xml:space="preserve">ç)  raportimin e konsumit të energjisë elektrike në bazë mujore te Task-Forca e Energjisë, duke identifikuar kursimet e arritura në raport me muajin përkatës të vitit paraardhës dhe raportimin e masave të zbatuara. </w:t>
      </w:r>
    </w:p>
    <w:p w14:paraId="655475CB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3. Administratori energjetik raporton në mënyrë periodike te titullari i institucionit apo administratori i shoqërisë dhe ndërmarrjes për kursimin e arritur dhe masat shtesë që duhen ndërmarrë.</w:t>
      </w:r>
    </w:p>
    <w:p w14:paraId="655475CC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 xml:space="preserve">4. Mosarritja e përsëritur në dy muaj e masës së kursimit të energjisë nga institucioni, shoqëria apo ndërmarrja konsiderohet shkelje administrative dhe dënohet me gjobë, në masën 50 000 (pesëdhjetë mijë) lekë. Masa administrative i vendoset titullarit të institucionit, administratorit të shoqërisë apo ndërmarrjes, që ka përgjegjësi administrimi pronën përkatëse.  </w:t>
      </w:r>
    </w:p>
    <w:p w14:paraId="655475CD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CE" w14:textId="77777777" w:rsidR="007E2973" w:rsidRPr="00AF2971" w:rsidRDefault="007E2973" w:rsidP="00B608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Neni 5</w:t>
      </w:r>
    </w:p>
    <w:p w14:paraId="655475CF" w14:textId="77777777" w:rsidR="007E2973" w:rsidRPr="00AF2971" w:rsidRDefault="007E2973" w:rsidP="00B608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Masat e veçanta për klientët jofamiljarë publikë</w:t>
      </w:r>
    </w:p>
    <w:p w14:paraId="655475D0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55475D1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1. Klientët jofamiljarë publikë, përveç detyrimit të përcaktuar në nenin 4, të këtij akti normativ, zbatojnë edhe masat e detyrueshme për reduktimin e konsumit të energjisë elektrike, sipas parashikimeve të mëposhtme:</w:t>
      </w:r>
    </w:p>
    <w:p w14:paraId="655475D2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a) Ndalohet përdorimi i ajrit të kondicionuar në temperaturë më të ulët se 27 gradë gjatë verës dhe më të lartë se 21 gradë gjatë dimrit;</w:t>
      </w:r>
    </w:p>
    <w:p w14:paraId="655475D3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b) Ndërpritet ndriçimi i jashtëm i godinave të klientëve jofamiljarë publikë çdo ditë pas orës 22:00;</w:t>
      </w:r>
    </w:p>
    <w:p w14:paraId="655475D4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c) Ndërpritet ndriçimi rrugor i rrugëve ndërqytetase kryesore dhe dytësore;</w:t>
      </w:r>
    </w:p>
    <w:p w14:paraId="655475D5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ç) Ndërpritet ndriçimi i jashtëm i objekteve të kulturës, monumenteve,</w:t>
      </w:r>
      <w:bookmarkStart w:id="0" w:name="_GoBack"/>
      <w:bookmarkEnd w:id="0"/>
      <w:r w:rsidRPr="00AF2971">
        <w:rPr>
          <w:rFonts w:ascii="Garamond" w:hAnsi="Garamond"/>
          <w:sz w:val="24"/>
          <w:szCs w:val="24"/>
          <w:lang w:val="sq-AL"/>
        </w:rPr>
        <w:t xml:space="preserve"> shesheve, shatërvanëve.</w:t>
      </w:r>
    </w:p>
    <w:p w14:paraId="655475D6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2. Nga zbatimi i pikës 1, të këtij neni, përjashtohet ndriçimi i rrugëve të qytetit.</w:t>
      </w:r>
    </w:p>
    <w:p w14:paraId="655475D7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 xml:space="preserve">3. Shkelja e detyrimeve të këtij neni konsiderohet shkelje administrative dhe dënohet me gjobë, në masën 50 000 (pesëdhjetë mijë) lekë. Masa administrative i vendoset titullarit të institucionit, administratorit të shoqërisë apo ndërmarrjes, që ka përgjegjësi administrimi pronën përkatëse.  </w:t>
      </w:r>
    </w:p>
    <w:p w14:paraId="655475D8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D9" w14:textId="77777777" w:rsidR="007E2973" w:rsidRPr="00AF2971" w:rsidRDefault="007E2973" w:rsidP="0065626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Neni 6</w:t>
      </w:r>
    </w:p>
    <w:p w14:paraId="655475DA" w14:textId="77777777" w:rsidR="007E2973" w:rsidRPr="0065626D" w:rsidRDefault="007E2973" w:rsidP="006562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5626D">
        <w:rPr>
          <w:rFonts w:ascii="Garamond" w:hAnsi="Garamond"/>
          <w:b/>
          <w:sz w:val="24"/>
          <w:szCs w:val="24"/>
          <w:lang w:val="sq-AL"/>
        </w:rPr>
        <w:t>Masat e veçanta për klientët familjarë dhe jofamiljarë privatë</w:t>
      </w:r>
    </w:p>
    <w:p w14:paraId="655475DB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DC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Këshilli i Ministrave, me propozimin e ministrit përgjegjës për energjinë, në varësi të situatës miraton masa të detyrueshme për t’u zbatuar nga klientët familjarë dhe jofamiljarë privatë.</w:t>
      </w:r>
    </w:p>
    <w:p w14:paraId="655475DD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DE" w14:textId="77777777" w:rsidR="007E2973" w:rsidRPr="00AF2971" w:rsidRDefault="007E2973" w:rsidP="00B608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Neni 7</w:t>
      </w:r>
    </w:p>
    <w:p w14:paraId="655475DF" w14:textId="77777777" w:rsidR="007E2973" w:rsidRPr="00AF2971" w:rsidRDefault="007E2973" w:rsidP="00B608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Masat e financimit për klientët familjarë për kursimin e energjisë nga panelet diellore</w:t>
      </w:r>
    </w:p>
    <w:p w14:paraId="655475E0" w14:textId="77777777" w:rsidR="007E2973" w:rsidRPr="00AF2971" w:rsidRDefault="007E2973" w:rsidP="00B608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5475E1" w14:textId="23ED8E02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1. Agjencia për Efi</w:t>
      </w:r>
      <w:r w:rsidR="00AF2971">
        <w:rPr>
          <w:rFonts w:ascii="Garamond" w:hAnsi="Garamond"/>
          <w:sz w:val="24"/>
          <w:szCs w:val="24"/>
          <w:lang w:val="sq-AL"/>
        </w:rPr>
        <w:t>ci</w:t>
      </w:r>
      <w:r w:rsidRPr="00AF2971">
        <w:rPr>
          <w:rFonts w:ascii="Garamond" w:hAnsi="Garamond"/>
          <w:sz w:val="24"/>
          <w:szCs w:val="24"/>
          <w:lang w:val="sq-AL"/>
        </w:rPr>
        <w:t>encën e Energjisë financon projektet për instalimin e paneleve diellore, për ngrohjen e ujit sanitar për klientët familjarë. Financimi përfshin jo më shumë se 70% të vlerës së impiantit dhe kostos së instalimit. Financimi i masës mbështetëse bëhet vetëm nga të ardhurat për shërbime ndaj të tretëve, të arkëtuara nga agjencia gjatë vitit buxhetor. Fondet e pashfrytëzuara për këtë qëllim mbarten në vitin pasardhës.</w:t>
      </w:r>
    </w:p>
    <w:p w14:paraId="655475E2" w14:textId="6B6DABEE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2. Agjencia për Efi</w:t>
      </w:r>
      <w:r w:rsidR="00AF2971">
        <w:rPr>
          <w:rFonts w:ascii="Garamond" w:hAnsi="Garamond"/>
          <w:sz w:val="24"/>
          <w:szCs w:val="24"/>
          <w:lang w:val="sq-AL"/>
        </w:rPr>
        <w:t>ci</w:t>
      </w:r>
      <w:r w:rsidRPr="00AF2971">
        <w:rPr>
          <w:rFonts w:ascii="Garamond" w:hAnsi="Garamond"/>
          <w:sz w:val="24"/>
          <w:szCs w:val="24"/>
          <w:lang w:val="sq-AL"/>
        </w:rPr>
        <w:t>encën e Energjisë publikon në fazën e parë të procesit subjektet, që kanë shfaqur interes për ofrimin e shërbimit të shitjes dhe të instalimit të paneleve diellore për ngrohjen e ujit të ngrohtë.</w:t>
      </w:r>
    </w:p>
    <w:p w14:paraId="655475E3" w14:textId="6969B50E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3. Agjencia për Efi</w:t>
      </w:r>
      <w:r w:rsidR="00AF2971">
        <w:rPr>
          <w:rFonts w:ascii="Garamond" w:hAnsi="Garamond"/>
          <w:sz w:val="24"/>
          <w:szCs w:val="24"/>
          <w:lang w:val="sq-AL"/>
        </w:rPr>
        <w:t>ci</w:t>
      </w:r>
      <w:r w:rsidRPr="00AF2971">
        <w:rPr>
          <w:rFonts w:ascii="Garamond" w:hAnsi="Garamond"/>
          <w:sz w:val="24"/>
          <w:szCs w:val="24"/>
          <w:lang w:val="sq-AL"/>
        </w:rPr>
        <w:t>ncën e Energjisë në fazën e dytë realizon një procedurë të thjeshtuar për përfitimin e financimit nga klientët familjarë. Përzgjedhja e klientëve familjarë bëhet duke marrë për bazë kohën e aplikimit.</w:t>
      </w:r>
    </w:p>
    <w:p w14:paraId="655475E4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 xml:space="preserve">4. Instalimi i paneleve diellore monitorohet nga Task-Forca e Energjisë. </w:t>
      </w:r>
    </w:p>
    <w:p w14:paraId="655475E5" w14:textId="05F8A56C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lastRenderedPageBreak/>
        <w:t>5. Agjencia për Efi</w:t>
      </w:r>
      <w:r w:rsidR="00AF2971">
        <w:rPr>
          <w:rFonts w:ascii="Garamond" w:hAnsi="Garamond"/>
          <w:sz w:val="24"/>
          <w:szCs w:val="24"/>
          <w:lang w:val="sq-AL"/>
        </w:rPr>
        <w:t>ci</w:t>
      </w:r>
      <w:r w:rsidRPr="00AF2971">
        <w:rPr>
          <w:rFonts w:ascii="Garamond" w:hAnsi="Garamond"/>
          <w:sz w:val="24"/>
          <w:szCs w:val="24"/>
          <w:lang w:val="sq-AL"/>
        </w:rPr>
        <w:t>encën e Energjisë shpall në faqen e internetit rregullat dhe procedurat e detajuara për përfitimin e financimit.</w:t>
      </w:r>
    </w:p>
    <w:p w14:paraId="655475E6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6. Rregullat, procedurat dhe metodologjia për subjektet dhe klientët familjarë, objekt të kësaj mase mbështetëse, përcaktohen me udhëzim të ministrit përgjegjës për energjinë.</w:t>
      </w:r>
    </w:p>
    <w:p w14:paraId="655475E7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E8" w14:textId="77777777" w:rsidR="007E2973" w:rsidRPr="00AF2971" w:rsidRDefault="007E2973" w:rsidP="00B608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Neni 8</w:t>
      </w:r>
    </w:p>
    <w:p w14:paraId="655475E9" w14:textId="71096F5E" w:rsidR="007E2973" w:rsidRPr="00AF2971" w:rsidRDefault="007E2973" w:rsidP="00B608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Masa të tjera financimi për efi</w:t>
      </w:r>
      <w:r w:rsidR="00AF2971">
        <w:rPr>
          <w:rFonts w:ascii="Garamond" w:hAnsi="Garamond"/>
          <w:b/>
          <w:sz w:val="24"/>
          <w:szCs w:val="24"/>
          <w:lang w:val="sq-AL"/>
        </w:rPr>
        <w:t>ci</w:t>
      </w:r>
      <w:r w:rsidRPr="00AF2971">
        <w:rPr>
          <w:rFonts w:ascii="Garamond" w:hAnsi="Garamond"/>
          <w:b/>
          <w:sz w:val="24"/>
          <w:szCs w:val="24"/>
          <w:lang w:val="sq-AL"/>
        </w:rPr>
        <w:t>encën e energjisë</w:t>
      </w:r>
    </w:p>
    <w:p w14:paraId="655475EA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EB" w14:textId="02092E04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1. Këshilli i Ministrave, me propozimin e ministrit përgjegjës për energjinë, miraton masa shtesë financimi për projekte efi</w:t>
      </w:r>
      <w:r w:rsidR="00AF2971">
        <w:rPr>
          <w:rFonts w:ascii="Garamond" w:hAnsi="Garamond"/>
          <w:sz w:val="24"/>
          <w:szCs w:val="24"/>
          <w:lang w:val="sq-AL"/>
        </w:rPr>
        <w:t>ci</w:t>
      </w:r>
      <w:r w:rsidRPr="00AF2971">
        <w:rPr>
          <w:rFonts w:ascii="Garamond" w:hAnsi="Garamond"/>
          <w:sz w:val="24"/>
          <w:szCs w:val="24"/>
          <w:lang w:val="sq-AL"/>
        </w:rPr>
        <w:t>ence energjie për klientët familjarë dhe jofamiljarë, privatë ose publikë.</w:t>
      </w:r>
    </w:p>
    <w:p w14:paraId="655475EC" w14:textId="3536F5D1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2. Financimi për masat e efi</w:t>
      </w:r>
      <w:r w:rsidR="00AF2971">
        <w:rPr>
          <w:rFonts w:ascii="Garamond" w:hAnsi="Garamond"/>
          <w:sz w:val="24"/>
          <w:szCs w:val="24"/>
          <w:lang w:val="sq-AL"/>
        </w:rPr>
        <w:t>ci</w:t>
      </w:r>
      <w:r w:rsidRPr="00AF2971">
        <w:rPr>
          <w:rFonts w:ascii="Garamond" w:hAnsi="Garamond"/>
          <w:sz w:val="24"/>
          <w:szCs w:val="24"/>
          <w:lang w:val="sq-AL"/>
        </w:rPr>
        <w:t>encës financohet nga buxheti i shtetit ose nga donacione apo financime nga institucione kombëtare apo ndërkombëtare. Financimi për masat e efi</w:t>
      </w:r>
      <w:r w:rsidR="00AF2971">
        <w:rPr>
          <w:rFonts w:ascii="Garamond" w:hAnsi="Garamond"/>
          <w:sz w:val="24"/>
          <w:szCs w:val="24"/>
          <w:lang w:val="sq-AL"/>
        </w:rPr>
        <w:t>ci</w:t>
      </w:r>
      <w:r w:rsidRPr="00AF2971">
        <w:rPr>
          <w:rFonts w:ascii="Garamond" w:hAnsi="Garamond"/>
          <w:sz w:val="24"/>
          <w:szCs w:val="24"/>
          <w:lang w:val="sq-AL"/>
        </w:rPr>
        <w:t xml:space="preserve">encës nga buxheti i shtetit realizohet në përputhje me legjislacionin për ndihmën shtetërore. </w:t>
      </w:r>
    </w:p>
    <w:p w14:paraId="655475ED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EE" w14:textId="77777777" w:rsidR="007E2973" w:rsidRPr="00AF2971" w:rsidRDefault="007E2973" w:rsidP="00B608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Neni 9</w:t>
      </w:r>
    </w:p>
    <w:p w14:paraId="655475EF" w14:textId="77777777" w:rsidR="007E2973" w:rsidRPr="00AF2971" w:rsidRDefault="007E2973" w:rsidP="00B608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Organet kompetente për dhënien e masave administrative</w:t>
      </w:r>
    </w:p>
    <w:p w14:paraId="655475F0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55475F1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 xml:space="preserve">1. Të drejtën e dhënies së masave administrative, sipas përcaktimeve të këtij akti normativ, e ka Task-Forca e Energjisë. </w:t>
      </w:r>
    </w:p>
    <w:p w14:paraId="655475F2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2. Masat administrative të dhëna, sipas këtij akti normativ, përbëjnë titull ekzekutiv dhe modeli i tyre përcaktohet nga organi kompetent.</w:t>
      </w:r>
    </w:p>
    <w:p w14:paraId="655475F3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3.  Shqyrtimi dhe dhënia e masave administrative bëhen në përputhje me parashikimet e Kodit të Procedurave Administrative.</w:t>
      </w:r>
    </w:p>
    <w:p w14:paraId="655475F4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F5" w14:textId="77777777" w:rsidR="007E2973" w:rsidRPr="00AF2971" w:rsidRDefault="007E2973" w:rsidP="00B608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Neni 10</w:t>
      </w:r>
    </w:p>
    <w:p w14:paraId="655475F6" w14:textId="77777777" w:rsidR="007E2973" w:rsidRPr="00AF2971" w:rsidRDefault="007E2973" w:rsidP="00B608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Kohëzgjatja dhe zbatimi</w:t>
      </w:r>
    </w:p>
    <w:p w14:paraId="655475F7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F8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1. Ky akt normativ ka karakter të përkohshëm dhe zbatohet për aq kohë sa zgjat periudha e gjendjes së emergjencës në furnizimin me energji elektrike.</w:t>
      </w:r>
    </w:p>
    <w:p w14:paraId="655475F9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 xml:space="preserve">2. Ky akt normativ nuk është i zbatueshëm për institucionet e ofrimit të shërbimeve shëndetësore, shkollat, kopshtet, komisariatet e policisë dhe institucionet e ekzekutimit të vendimeve penale. </w:t>
      </w:r>
    </w:p>
    <w:p w14:paraId="655475FA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5FB" w14:textId="77777777" w:rsidR="007E2973" w:rsidRPr="00AF2971" w:rsidRDefault="007E2973" w:rsidP="00B608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Neni 11</w:t>
      </w:r>
    </w:p>
    <w:p w14:paraId="655475FC" w14:textId="77777777" w:rsidR="007E2973" w:rsidRPr="00AF2971" w:rsidRDefault="007E2973" w:rsidP="00B608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Hyrja në fuqi</w:t>
      </w:r>
    </w:p>
    <w:p w14:paraId="655475FD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55475FE" w14:textId="77777777" w:rsidR="007E2973" w:rsidRPr="00AF2971" w:rsidRDefault="007E2973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Ky akt normativ hyn në</w:t>
      </w:r>
      <w:r w:rsidR="00B608FA" w:rsidRPr="00AF2971">
        <w:rPr>
          <w:rFonts w:ascii="Garamond" w:hAnsi="Garamond"/>
          <w:sz w:val="24"/>
          <w:szCs w:val="24"/>
          <w:lang w:val="sq-AL"/>
        </w:rPr>
        <w:t xml:space="preserve"> fuqi menjëherë dhe botohet në Fletoren Zyrtare</w:t>
      </w:r>
      <w:r w:rsidRPr="00AF2971">
        <w:rPr>
          <w:rFonts w:ascii="Garamond" w:hAnsi="Garamond"/>
          <w:sz w:val="24"/>
          <w:szCs w:val="24"/>
          <w:lang w:val="sq-AL"/>
        </w:rPr>
        <w:t>.</w:t>
      </w:r>
    </w:p>
    <w:p w14:paraId="655475FF" w14:textId="77777777" w:rsidR="00B608FA" w:rsidRPr="00AF2971" w:rsidRDefault="00B608FA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47600" w14:textId="77777777" w:rsidR="007E2973" w:rsidRPr="00AF2971" w:rsidRDefault="00B608FA" w:rsidP="00B608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2971">
        <w:rPr>
          <w:rFonts w:ascii="Garamond" w:hAnsi="Garamond"/>
          <w:sz w:val="24"/>
          <w:szCs w:val="24"/>
          <w:lang w:val="sq-AL"/>
        </w:rPr>
        <w:t>ZËVENDËSKRYEMINISTËR</w:t>
      </w:r>
    </w:p>
    <w:p w14:paraId="65547601" w14:textId="77777777" w:rsidR="007E2973" w:rsidRPr="00AF2971" w:rsidRDefault="00B608FA" w:rsidP="00B608F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2971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65547602" w14:textId="77777777" w:rsidR="009378A9" w:rsidRPr="00AF2971" w:rsidRDefault="009378A9" w:rsidP="007E29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378A9" w:rsidRPr="00AF2971" w:rsidSect="009378A9">
      <w:footerReference w:type="default" r:id="rId13"/>
      <w:pgSz w:w="11907" w:h="16839" w:code="9"/>
      <w:pgMar w:top="1440" w:right="1440" w:bottom="1440" w:left="1440" w:header="720" w:footer="4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DF63A3" w14:textId="77777777" w:rsidR="003B1037" w:rsidRDefault="003B1037">
      <w:pPr>
        <w:spacing w:after="0" w:line="240" w:lineRule="auto"/>
      </w:pPr>
      <w:r>
        <w:separator/>
      </w:r>
    </w:p>
  </w:endnote>
  <w:endnote w:type="continuationSeparator" w:id="0">
    <w:p w14:paraId="6057687B" w14:textId="77777777" w:rsidR="003B1037" w:rsidRDefault="003B1037">
      <w:pPr>
        <w:spacing w:after="0" w:line="240" w:lineRule="auto"/>
      </w:pPr>
      <w:r>
        <w:continuationSeparator/>
      </w:r>
    </w:p>
  </w:endnote>
  <w:endnote w:type="continuationNotice" w:id="1">
    <w:p w14:paraId="5F3D6ED9" w14:textId="77777777" w:rsidR="003B1037" w:rsidRDefault="003B10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-1920680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547607" w14:textId="77777777" w:rsidR="003B1037" w:rsidRPr="009378A9" w:rsidRDefault="003B1037">
        <w:pPr>
          <w:pStyle w:val="Footer"/>
          <w:jc w:val="right"/>
          <w:rPr>
            <w:rFonts w:ascii="Times New Roman" w:hAnsi="Times New Roman"/>
            <w:sz w:val="24"/>
          </w:rPr>
        </w:pPr>
        <w:r w:rsidRPr="009378A9">
          <w:rPr>
            <w:rFonts w:ascii="Times New Roman" w:hAnsi="Times New Roman"/>
            <w:sz w:val="24"/>
          </w:rPr>
          <w:fldChar w:fldCharType="begin"/>
        </w:r>
        <w:r w:rsidRPr="009378A9">
          <w:rPr>
            <w:rFonts w:ascii="Times New Roman" w:hAnsi="Times New Roman"/>
            <w:sz w:val="24"/>
          </w:rPr>
          <w:instrText xml:space="preserve"> PAGE   \* MERGEFORMAT </w:instrText>
        </w:r>
        <w:r w:rsidRPr="009378A9">
          <w:rPr>
            <w:rFonts w:ascii="Times New Roman" w:hAnsi="Times New Roman"/>
            <w:sz w:val="24"/>
          </w:rPr>
          <w:fldChar w:fldCharType="separate"/>
        </w:r>
        <w:r w:rsidR="0065626D">
          <w:rPr>
            <w:rFonts w:ascii="Times New Roman" w:hAnsi="Times New Roman"/>
            <w:noProof/>
            <w:sz w:val="24"/>
          </w:rPr>
          <w:t>3</w:t>
        </w:r>
        <w:r w:rsidRPr="009378A9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5547608" w14:textId="77777777" w:rsidR="003B1037" w:rsidRDefault="003B10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FDB36E" w14:textId="77777777" w:rsidR="003B1037" w:rsidRDefault="003B1037">
      <w:pPr>
        <w:spacing w:after="0" w:line="240" w:lineRule="auto"/>
      </w:pPr>
      <w:r>
        <w:separator/>
      </w:r>
    </w:p>
  </w:footnote>
  <w:footnote w:type="continuationSeparator" w:id="0">
    <w:p w14:paraId="777F9086" w14:textId="77777777" w:rsidR="003B1037" w:rsidRDefault="003B1037">
      <w:pPr>
        <w:spacing w:after="0" w:line="240" w:lineRule="auto"/>
      </w:pPr>
      <w:r>
        <w:continuationSeparator/>
      </w:r>
    </w:p>
  </w:footnote>
  <w:footnote w:type="continuationNotice" w:id="1">
    <w:p w14:paraId="4F134A50" w14:textId="77777777" w:rsidR="003B1037" w:rsidRDefault="003B10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1769C"/>
    <w:multiLevelType w:val="hybridMultilevel"/>
    <w:tmpl w:val="36BACB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7266F5"/>
    <w:multiLevelType w:val="hybridMultilevel"/>
    <w:tmpl w:val="3B8CEDF6"/>
    <w:lvl w:ilvl="0" w:tplc="96FE116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9446AA"/>
    <w:multiLevelType w:val="hybridMultilevel"/>
    <w:tmpl w:val="3CF636D6"/>
    <w:lvl w:ilvl="0" w:tplc="04090017">
      <w:start w:val="1"/>
      <w:numFmt w:val="lowerLetter"/>
      <w:lvlText w:val="%1)"/>
      <w:lvlJc w:val="left"/>
      <w:pPr>
        <w:ind w:left="1368" w:hanging="360"/>
      </w:p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3">
    <w:nsid w:val="1AC66670"/>
    <w:multiLevelType w:val="hybridMultilevel"/>
    <w:tmpl w:val="4FB412E8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>
    <w:nsid w:val="1ADD42A8"/>
    <w:multiLevelType w:val="hybridMultilevel"/>
    <w:tmpl w:val="10C8204C"/>
    <w:lvl w:ilvl="0" w:tplc="2D30EC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230436D"/>
    <w:multiLevelType w:val="hybridMultilevel"/>
    <w:tmpl w:val="3CFE2542"/>
    <w:lvl w:ilvl="0" w:tplc="948414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02F2949"/>
    <w:multiLevelType w:val="hybridMultilevel"/>
    <w:tmpl w:val="B6964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5C02BB"/>
    <w:multiLevelType w:val="hybridMultilevel"/>
    <w:tmpl w:val="543AA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306C40"/>
    <w:multiLevelType w:val="hybridMultilevel"/>
    <w:tmpl w:val="9BB852CC"/>
    <w:lvl w:ilvl="0" w:tplc="E02CBDAA">
      <w:start w:val="1"/>
      <w:numFmt w:val="lowerRoman"/>
      <w:lvlText w:val="%1."/>
      <w:lvlJc w:val="left"/>
      <w:pPr>
        <w:ind w:left="136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3E25412C"/>
    <w:multiLevelType w:val="hybridMultilevel"/>
    <w:tmpl w:val="C7B645D0"/>
    <w:lvl w:ilvl="0" w:tplc="E1786B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41F46C23"/>
    <w:multiLevelType w:val="hybridMultilevel"/>
    <w:tmpl w:val="C42E973E"/>
    <w:lvl w:ilvl="0" w:tplc="AC9418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FA6544D"/>
    <w:multiLevelType w:val="hybridMultilevel"/>
    <w:tmpl w:val="E46EEA06"/>
    <w:lvl w:ilvl="0" w:tplc="493630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21827CC"/>
    <w:multiLevelType w:val="hybridMultilevel"/>
    <w:tmpl w:val="0A4A037E"/>
    <w:lvl w:ilvl="0" w:tplc="E2A449C2">
      <w:start w:val="1"/>
      <w:numFmt w:val="lowerRoman"/>
      <w:lvlText w:val="%1."/>
      <w:lvlJc w:val="left"/>
      <w:pPr>
        <w:ind w:left="136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586E4373"/>
    <w:multiLevelType w:val="hybridMultilevel"/>
    <w:tmpl w:val="426C7F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5E43D6"/>
    <w:multiLevelType w:val="hybridMultilevel"/>
    <w:tmpl w:val="049A051C"/>
    <w:lvl w:ilvl="0" w:tplc="A1A489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1"/>
  </w:num>
  <w:num w:numId="3">
    <w:abstractNumId w:val="2"/>
  </w:num>
  <w:num w:numId="4">
    <w:abstractNumId w:val="0"/>
  </w:num>
  <w:num w:numId="5">
    <w:abstractNumId w:val="9"/>
  </w:num>
  <w:num w:numId="6">
    <w:abstractNumId w:val="12"/>
  </w:num>
  <w:num w:numId="7">
    <w:abstractNumId w:val="11"/>
  </w:num>
  <w:num w:numId="8">
    <w:abstractNumId w:val="8"/>
  </w:num>
  <w:num w:numId="9">
    <w:abstractNumId w:val="5"/>
  </w:num>
  <w:num w:numId="10">
    <w:abstractNumId w:val="10"/>
  </w:num>
  <w:num w:numId="11">
    <w:abstractNumId w:val="4"/>
  </w:num>
  <w:num w:numId="12">
    <w:abstractNumId w:val="6"/>
  </w:num>
  <w:num w:numId="13">
    <w:abstractNumId w:val="7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E85"/>
    <w:rsid w:val="00024B27"/>
    <w:rsid w:val="000824FA"/>
    <w:rsid w:val="001209A5"/>
    <w:rsid w:val="00144BA7"/>
    <w:rsid w:val="001E1DE9"/>
    <w:rsid w:val="0020307A"/>
    <w:rsid w:val="002170D6"/>
    <w:rsid w:val="00242645"/>
    <w:rsid w:val="00250D47"/>
    <w:rsid w:val="0025169D"/>
    <w:rsid w:val="002677F5"/>
    <w:rsid w:val="00360E85"/>
    <w:rsid w:val="0038597D"/>
    <w:rsid w:val="003B1037"/>
    <w:rsid w:val="003B1EB8"/>
    <w:rsid w:val="0040071D"/>
    <w:rsid w:val="00471D03"/>
    <w:rsid w:val="0047730B"/>
    <w:rsid w:val="0048464D"/>
    <w:rsid w:val="004C7D14"/>
    <w:rsid w:val="004D409D"/>
    <w:rsid w:val="00583C5A"/>
    <w:rsid w:val="005A5BE5"/>
    <w:rsid w:val="005B567D"/>
    <w:rsid w:val="005B6687"/>
    <w:rsid w:val="005C4E3F"/>
    <w:rsid w:val="005E3DF0"/>
    <w:rsid w:val="006234BF"/>
    <w:rsid w:val="00640B09"/>
    <w:rsid w:val="0065626D"/>
    <w:rsid w:val="00663C68"/>
    <w:rsid w:val="006847B4"/>
    <w:rsid w:val="006B53D8"/>
    <w:rsid w:val="007101D4"/>
    <w:rsid w:val="007401C5"/>
    <w:rsid w:val="007C582A"/>
    <w:rsid w:val="007D0362"/>
    <w:rsid w:val="007E1A24"/>
    <w:rsid w:val="007E2973"/>
    <w:rsid w:val="007F6677"/>
    <w:rsid w:val="00837B63"/>
    <w:rsid w:val="0084555E"/>
    <w:rsid w:val="0085222F"/>
    <w:rsid w:val="008546C8"/>
    <w:rsid w:val="00875C75"/>
    <w:rsid w:val="00896C1B"/>
    <w:rsid w:val="008A3D01"/>
    <w:rsid w:val="008B40F4"/>
    <w:rsid w:val="00925777"/>
    <w:rsid w:val="009378A9"/>
    <w:rsid w:val="00962A8F"/>
    <w:rsid w:val="009D646D"/>
    <w:rsid w:val="009E5888"/>
    <w:rsid w:val="00A24574"/>
    <w:rsid w:val="00A35FD5"/>
    <w:rsid w:val="00A42A15"/>
    <w:rsid w:val="00A719C4"/>
    <w:rsid w:val="00AF2971"/>
    <w:rsid w:val="00B100D0"/>
    <w:rsid w:val="00B36EC6"/>
    <w:rsid w:val="00B428D0"/>
    <w:rsid w:val="00B608FA"/>
    <w:rsid w:val="00BB2832"/>
    <w:rsid w:val="00BD1285"/>
    <w:rsid w:val="00C15281"/>
    <w:rsid w:val="00C510E9"/>
    <w:rsid w:val="00C55ECF"/>
    <w:rsid w:val="00CA0F25"/>
    <w:rsid w:val="00CB171F"/>
    <w:rsid w:val="00CC6224"/>
    <w:rsid w:val="00CD41A9"/>
    <w:rsid w:val="00CE604D"/>
    <w:rsid w:val="00D242AB"/>
    <w:rsid w:val="00D45422"/>
    <w:rsid w:val="00D66907"/>
    <w:rsid w:val="00D72105"/>
    <w:rsid w:val="00D923A1"/>
    <w:rsid w:val="00E35EF1"/>
    <w:rsid w:val="00E36D11"/>
    <w:rsid w:val="00E47EAC"/>
    <w:rsid w:val="00E7600E"/>
    <w:rsid w:val="00E82AD8"/>
    <w:rsid w:val="00EC0B24"/>
    <w:rsid w:val="00F10670"/>
    <w:rsid w:val="00F155F6"/>
    <w:rsid w:val="00F35624"/>
    <w:rsid w:val="00F4544E"/>
    <w:rsid w:val="00F52231"/>
    <w:rsid w:val="00FB6FE2"/>
    <w:rsid w:val="00FE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55475A7"/>
  <w15:docId w15:val="{52E91E79-20AB-4EB7-AF40-57A848B49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0E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360E85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60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E8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60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E85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99"/>
    <w:qFormat/>
    <w:rsid w:val="00360E85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360E85"/>
    <w:pPr>
      <w:spacing w:after="0" w:line="240" w:lineRule="auto"/>
      <w:ind w:firstLine="284"/>
      <w:jc w:val="both"/>
    </w:pPr>
    <w:rPr>
      <w:rFonts w:ascii="Garamond" w:hAnsi="Garamond"/>
      <w:sz w:val="24"/>
      <w:szCs w:val="24"/>
      <w:lang w:val="sq-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0E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0E8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E85"/>
    <w:pPr>
      <w:widowControl w:val="0"/>
      <w:autoSpaceDE w:val="0"/>
      <w:autoSpaceDN w:val="0"/>
      <w:spacing w:after="0"/>
    </w:pPr>
    <w:rPr>
      <w:rFonts w:ascii="Times New Roman" w:eastAsia="Times New Roman" w:hAnsi="Times New Roman"/>
      <w:b/>
      <w:bCs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E85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CE604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0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754E7678DC4E1585F017256BF8F7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2022-10-18T12:08:13Z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2022-10-17T22:00:00Z</Date_x0020_protokolli>
    <Titulli xmlns="0e656187-b300-4fb0-8bf4-3a50f872073c">Për marrjen e masave të veçanta gjatë kohëzgjatjes së gjendjes së emergjencës në furnizimin me energji elektrike</Titulli>
    <Modifikuesi xmlns="0e656187-b300-4fb0-8bf4-3a50f872073c">jorina.kryeziu</Modifikuesi>
    <Nr_x002e__x0020_prot_x0020_QBZ xmlns="0e656187-b300-4fb0-8bf4-3a50f872073c">1539</Nr_x002e__x0020_prot_x0020_QBZ>
    <Data_x0020_e_x0020_Modifikimit xmlns="0e656187-b300-4fb0-8bf4-3a50f872073c">2022-10-19T09:27:58Z</Data_x0020_e_x0020_Modifikimit>
    <Dekretuar xmlns="0e656187-b300-4fb0-8bf4-3a50f872073c">false</Dekretuar>
    <Data xmlns="0e656187-b300-4fb0-8bf4-3a50f872073c">2022-10-04T22:00:00Z</Data>
    <Nr_x002e__x0020_protokolli_x0020_i_x0020_aktit xmlns="0e656187-b300-4fb0-8bf4-3a50f872073c">5489/1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754E7678DC4E1585F017256BF8F7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8AB7F-A2C7-4D88-AAEC-E77A8C070F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AF68C1-8A54-47EF-B286-21A8F5BD9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AE37416-95D5-4644-A884-C365C3EDC190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9D5568C-3D94-473B-81CB-0B936A1CA2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4C7F76-6533-4E51-90E3-D2F1E13A3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2DEAEE-302F-4462-A2E9-917897455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të veçanta gjatë kohëzgjatjes së gjendjes së emergjencës në furnizimin me energji elektrike</vt:lpstr>
    </vt:vector>
  </TitlesOfParts>
  <Company/>
  <LinksUpToDate>false</LinksUpToDate>
  <CharactersWithSpaces>7023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të veçanta gjatë kohëzgjatjes së gjendjes së emergjencës në furnizimin me energji elektrike</dc:title>
  <dc:creator>Enea Karakaci</dc:creator>
  <cp:lastModifiedBy>Entela Suli</cp:lastModifiedBy>
  <cp:revision>6</cp:revision>
  <cp:lastPrinted>2022-10-04T14:54:00Z</cp:lastPrinted>
  <dcterms:created xsi:type="dcterms:W3CDTF">2022-10-19T09:17:00Z</dcterms:created>
  <dcterms:modified xsi:type="dcterms:W3CDTF">2022-10-19T10:07:00Z</dcterms:modified>
</cp:coreProperties>
</file>