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96335" w14:textId="77777777" w:rsidR="00CB0860" w:rsidRPr="008D0C28" w:rsidRDefault="00C843E9" w:rsidP="00843EF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0C28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46E96338" w14:textId="77777777" w:rsidR="00EF21EE" w:rsidRPr="008D0C28" w:rsidRDefault="00EF21EE" w:rsidP="00843E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6E96339" w14:textId="33C0B426" w:rsidR="000D17C0" w:rsidRPr="008D0C28" w:rsidRDefault="000D17C0" w:rsidP="00843E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D0C28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EF21EE" w:rsidRPr="008D0C2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8D0C2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bookmarkStart w:id="0" w:name="_Hlk73530307"/>
      <w:r w:rsidR="00EF21EE" w:rsidRPr="008D0C28">
        <w:rPr>
          <w:rFonts w:ascii="Garamond" w:eastAsia="Times New Roman" w:hAnsi="Garamond" w:cs="Times New Roman"/>
          <w:sz w:val="24"/>
          <w:szCs w:val="24"/>
          <w:lang w:val="sq-AL"/>
        </w:rPr>
        <w:t>vendimin e</w:t>
      </w:r>
      <w:r w:rsidRPr="008D0C28">
        <w:rPr>
          <w:rFonts w:ascii="Garamond" w:eastAsia="Times New Roman" w:hAnsi="Garamond" w:cs="Times New Roman"/>
          <w:sz w:val="24"/>
          <w:szCs w:val="24"/>
          <w:lang w:val="sq-AL"/>
        </w:rPr>
        <w:t xml:space="preserve"> Bordit të ERE-s nr. 108, d</w:t>
      </w:r>
      <w:r w:rsidR="00EF21EE" w:rsidRPr="008D0C28">
        <w:rPr>
          <w:rFonts w:ascii="Garamond" w:eastAsia="Times New Roman" w:hAnsi="Garamond" w:cs="Times New Roman"/>
          <w:sz w:val="24"/>
          <w:szCs w:val="24"/>
          <w:lang w:val="sq-AL"/>
        </w:rPr>
        <w:t>atë 22.</w:t>
      </w:r>
      <w:r w:rsidRPr="008D0C28">
        <w:rPr>
          <w:rFonts w:ascii="Garamond" w:eastAsia="Times New Roman" w:hAnsi="Garamond" w:cs="Times New Roman"/>
          <w:sz w:val="24"/>
          <w:szCs w:val="24"/>
          <w:lang w:val="sq-AL"/>
        </w:rPr>
        <w:t>4.2021</w:t>
      </w:r>
      <w:bookmarkEnd w:id="0"/>
      <w:r w:rsidRPr="008D0C28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EF21EE" w:rsidRPr="008D0C28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EF21EE" w:rsidRPr="008D0C28">
        <w:rPr>
          <w:rFonts w:ascii="Garamond" w:hAnsi="Garamond"/>
          <w:spacing w:val="-4"/>
          <w:sz w:val="24"/>
          <w:szCs w:val="24"/>
          <w:lang w:val="sq-AL"/>
        </w:rPr>
        <w:t xml:space="preserve">Mbi miratimin e </w:t>
      </w:r>
      <w:r w:rsidR="002A31FA" w:rsidRPr="008D0C28">
        <w:rPr>
          <w:rFonts w:ascii="Garamond" w:hAnsi="Garamond"/>
          <w:spacing w:val="-4"/>
          <w:sz w:val="24"/>
          <w:szCs w:val="24"/>
          <w:lang w:val="sq-AL"/>
        </w:rPr>
        <w:t>‘</w:t>
      </w:r>
      <w:r w:rsidR="00EF21EE" w:rsidRPr="008D0C28">
        <w:rPr>
          <w:rFonts w:ascii="Garamond" w:hAnsi="Garamond"/>
          <w:spacing w:val="-4"/>
          <w:sz w:val="24"/>
          <w:szCs w:val="24"/>
          <w:lang w:val="sq-AL"/>
        </w:rPr>
        <w:t>Rregullave të përbashkëta të shlyerjes për shkëmbimin e energjisë, në përputhje me nenet 50 (3) dhe 51 (1), të Komisionit Rregullator të Bashkimit Evropian 2017/2195</w:t>
      </w:r>
      <w:r w:rsidR="002A31FA" w:rsidRPr="008D0C28">
        <w:rPr>
          <w:rFonts w:ascii="Garamond" w:hAnsi="Garamond"/>
          <w:spacing w:val="-4"/>
          <w:sz w:val="24"/>
          <w:szCs w:val="24"/>
          <w:lang w:val="sq-AL"/>
        </w:rPr>
        <w:t>’</w:t>
      </w:r>
      <w:r w:rsidR="00EF21EE" w:rsidRPr="008D0C28">
        <w:rPr>
          <w:rFonts w:ascii="Garamond" w:hAnsi="Garamond"/>
          <w:spacing w:val="-4"/>
          <w:sz w:val="24"/>
          <w:szCs w:val="24"/>
          <w:lang w:val="sq-AL"/>
        </w:rPr>
        <w:t xml:space="preserve">”, </w:t>
      </w:r>
      <w:r w:rsidR="00C605D6">
        <w:rPr>
          <w:rFonts w:ascii="Garamond" w:eastAsia="Times New Roman" w:hAnsi="Garamond" w:cs="Times New Roman"/>
          <w:sz w:val="24"/>
          <w:szCs w:val="24"/>
          <w:lang w:val="sq-AL"/>
        </w:rPr>
        <w:t>botuar</w:t>
      </w:r>
      <w:r w:rsidR="00EF21EE" w:rsidRPr="008D0C28">
        <w:rPr>
          <w:rFonts w:ascii="Garamond" w:eastAsia="Times New Roman" w:hAnsi="Garamond" w:cs="Times New Roman"/>
          <w:sz w:val="24"/>
          <w:szCs w:val="24"/>
          <w:lang w:val="sq-AL"/>
        </w:rPr>
        <w:t xml:space="preserve"> n</w:t>
      </w:r>
      <w:r w:rsidR="00402BBA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EF21EE" w:rsidRPr="008D0C28">
        <w:rPr>
          <w:rFonts w:ascii="Garamond" w:eastAsia="Times New Roman" w:hAnsi="Garamond" w:cs="Times New Roman"/>
          <w:sz w:val="24"/>
          <w:szCs w:val="24"/>
          <w:lang w:val="sq-AL"/>
        </w:rPr>
        <w:t xml:space="preserve"> Fletore</w:t>
      </w:r>
      <w:r w:rsidR="00402BBA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EF21EE" w:rsidRPr="008D0C28">
        <w:rPr>
          <w:rFonts w:ascii="Garamond" w:eastAsia="Times New Roman" w:hAnsi="Garamond" w:cs="Times New Roman"/>
          <w:sz w:val="24"/>
          <w:szCs w:val="24"/>
          <w:lang w:val="sq-AL"/>
        </w:rPr>
        <w:t xml:space="preserve"> Zyrtare n</w:t>
      </w:r>
      <w:r w:rsidRPr="008D0C28">
        <w:rPr>
          <w:rFonts w:ascii="Garamond" w:eastAsia="Times New Roman" w:hAnsi="Garamond" w:cs="Times New Roman"/>
          <w:sz w:val="24"/>
          <w:szCs w:val="24"/>
          <w:lang w:val="sq-AL"/>
        </w:rPr>
        <w:t>r. 78,</w:t>
      </w:r>
      <w:r w:rsidR="002A31FA" w:rsidRPr="008D0C28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datë</w:t>
      </w:r>
      <w:r w:rsidR="00EF21EE" w:rsidRPr="008D0C28">
        <w:rPr>
          <w:rFonts w:ascii="Garamond" w:eastAsia="Times New Roman" w:hAnsi="Garamond" w:cs="Times New Roman"/>
          <w:sz w:val="24"/>
          <w:szCs w:val="24"/>
          <w:lang w:val="sq-AL"/>
        </w:rPr>
        <w:t xml:space="preserve"> 25.</w:t>
      </w:r>
      <w:r w:rsidRPr="008D0C28">
        <w:rPr>
          <w:rFonts w:ascii="Garamond" w:eastAsia="Times New Roman" w:hAnsi="Garamond" w:cs="Times New Roman"/>
          <w:sz w:val="24"/>
          <w:szCs w:val="24"/>
          <w:lang w:val="sq-AL"/>
        </w:rPr>
        <w:t xml:space="preserve">5.2021, </w:t>
      </w:r>
      <w:r w:rsidR="00EF21EE" w:rsidRPr="008D0C28">
        <w:rPr>
          <w:rFonts w:ascii="Garamond" w:eastAsia="Times New Roman" w:hAnsi="Garamond" w:cs="Times New Roman"/>
          <w:sz w:val="24"/>
          <w:szCs w:val="24"/>
          <w:lang w:val="sq-AL"/>
        </w:rPr>
        <w:t xml:space="preserve">bëhet korrigjimi </w:t>
      </w:r>
      <w:r w:rsidRPr="008D0C28">
        <w:rPr>
          <w:rFonts w:ascii="Garamond" w:eastAsia="Times New Roman" w:hAnsi="Garamond" w:cs="Times New Roman"/>
          <w:sz w:val="24"/>
          <w:szCs w:val="24"/>
          <w:lang w:val="sq-AL"/>
        </w:rPr>
        <w:t>duke shtuar m</w:t>
      </w:r>
      <w:r w:rsidR="00EF21EE" w:rsidRPr="008D0C28">
        <w:rPr>
          <w:rFonts w:ascii="Garamond" w:eastAsia="Times New Roman" w:hAnsi="Garamond" w:cs="Times New Roman"/>
          <w:sz w:val="24"/>
          <w:szCs w:val="24"/>
          <w:lang w:val="sq-AL"/>
        </w:rPr>
        <w:t>aterialin bashkëlidhur</w:t>
      </w:r>
      <w:r w:rsidR="002A31FA" w:rsidRPr="008D0C28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</w:p>
    <w:p w14:paraId="46E9633B" w14:textId="5CE9C3F0" w:rsidR="00057BF9" w:rsidRPr="008D0C28" w:rsidRDefault="00057BF9" w:rsidP="00843E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9677341" w14:textId="6A484BA0" w:rsidR="00FC7434" w:rsidRPr="008D0C28" w:rsidRDefault="00FC7434" w:rsidP="00FC7434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gjitha propozimet e TSO-ve kontinentale evropiane për rregullat e shlyerjeve të përbashkëta</w:t>
      </w:r>
      <w:r w:rsidR="002B05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shkëmbimet e qëllimshme të energjisë si rezultat i procesit të kontrollit të frekuencave dhe </w:t>
      </w:r>
      <w:r w:rsid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periudhës së ndryshimit (rritje/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ulje)</w:t>
      </w:r>
      <w:r w:rsidR="002B05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përputhje me </w:t>
      </w:r>
      <w:r w:rsid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enit 50 (3)</w:t>
      </w:r>
      <w:r w:rsidR="002B05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i Rregullores së Komisionit (BE) 2017/2195</w:t>
      </w:r>
      <w:r w:rsid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23 </w:t>
      </w:r>
      <w:r w:rsid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ëntorit 2017</w:t>
      </w:r>
      <w:r w:rsid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="009379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krijimin e një udhëzuesi mbi balancimin e energjisë elektrike</w:t>
      </w:r>
    </w:p>
    <w:p w14:paraId="20BD4FEB" w14:textId="77777777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9AFB2E8" w14:textId="77777777" w:rsidR="00FC7434" w:rsidRPr="008D0C28" w:rsidRDefault="00FC7434" w:rsidP="00FC7434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>Përmbajtja</w:t>
      </w:r>
    </w:p>
    <w:p w14:paraId="046F1B2B" w14:textId="67782BE9" w:rsidR="00FC7434" w:rsidRPr="008D0C28" w:rsidRDefault="00FC7434" w:rsidP="00FC7434">
      <w:pPr>
        <w:pStyle w:val="AAATEETE"/>
        <w:rPr>
          <w:rFonts w:cs="Calibri"/>
          <w:color w:val="auto"/>
          <w:lang w:val="sq-AL"/>
        </w:rPr>
      </w:pPr>
      <w:r w:rsidRPr="008D0C28">
        <w:rPr>
          <w:rFonts w:cs="Calibri"/>
          <w:iCs/>
          <w:color w:val="auto"/>
          <w:lang w:val="sq-AL"/>
        </w:rPr>
        <w:t>Parathënie</w:t>
      </w:r>
      <w:r w:rsidRPr="008D0C28">
        <w:rPr>
          <w:rFonts w:cs="Calibri"/>
          <w:color w:val="auto"/>
          <w:lang w:val="sq-AL"/>
        </w:rPr>
        <w:t xml:space="preserve"> </w:t>
      </w:r>
    </w:p>
    <w:p w14:paraId="3571EC88" w14:textId="220B3FC6" w:rsidR="00FC7434" w:rsidRPr="008D0C28" w:rsidRDefault="00FC7434" w:rsidP="00FC7434">
      <w:pPr>
        <w:pStyle w:val="AAATEETE"/>
        <w:rPr>
          <w:color w:val="auto"/>
          <w:lang w:val="sq-AL"/>
        </w:rPr>
      </w:pPr>
      <w:r w:rsidRPr="008D0C28">
        <w:rPr>
          <w:iCs/>
          <w:color w:val="auto"/>
          <w:lang w:val="sq-AL"/>
        </w:rPr>
        <w:t>Shkurtime</w:t>
      </w:r>
      <w:r w:rsidRPr="008D0C28">
        <w:rPr>
          <w:color w:val="auto"/>
          <w:lang w:val="sq-AL"/>
        </w:rPr>
        <w:t xml:space="preserve"> </w:t>
      </w:r>
    </w:p>
    <w:p w14:paraId="6E8BE1D0" w14:textId="22A864AF" w:rsidR="00FC7434" w:rsidRPr="008D0C28" w:rsidRDefault="00FC7434" w:rsidP="00FC7434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>Neni 1 Objekti dhe qëllimi</w:t>
      </w:r>
    </w:p>
    <w:p w14:paraId="0762E28D" w14:textId="65820957" w:rsidR="00FC7434" w:rsidRPr="008D0C28" w:rsidRDefault="00FC7434" w:rsidP="00FC7434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 xml:space="preserve">Neni 2 Përkufizime dhe interpretimi </w:t>
      </w:r>
    </w:p>
    <w:p w14:paraId="7799E39B" w14:textId="7CB30867" w:rsidR="00FC7434" w:rsidRPr="008D0C28" w:rsidRDefault="00FC7434" w:rsidP="00FC7434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>Neni 3 Projekti i nivelit të lartë për shlyerjen e përbashkët</w:t>
      </w:r>
      <w:r w:rsidR="00937947">
        <w:rPr>
          <w:color w:val="auto"/>
          <w:lang w:val="sq-AL"/>
        </w:rPr>
        <w:t xml:space="preserve"> </w:t>
      </w:r>
    </w:p>
    <w:p w14:paraId="65BDADD6" w14:textId="444F56A3" w:rsidR="00FC7434" w:rsidRPr="008D0C28" w:rsidRDefault="00FC7434" w:rsidP="00FC7434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 xml:space="preserve">Neni 4 Zbatimi i shlyerjes së përbashkët </w:t>
      </w:r>
    </w:p>
    <w:p w14:paraId="38C2E6C0" w14:textId="60732A2B" w:rsidR="00FC7434" w:rsidRPr="008D0C28" w:rsidRDefault="00FC7434" w:rsidP="00FC7434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 xml:space="preserve">Neni 5 Funksionet e shlyerjes së përbashkët </w:t>
      </w:r>
    </w:p>
    <w:p w14:paraId="281B1ED4" w14:textId="39D1077E" w:rsidR="00FC7434" w:rsidRPr="008D0C28" w:rsidRDefault="00FC7434" w:rsidP="00FC7434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>Neni 6 Periudha e shlyerjes</w:t>
      </w:r>
      <w:r w:rsidR="00937947">
        <w:rPr>
          <w:color w:val="auto"/>
          <w:lang w:val="sq-AL"/>
        </w:rPr>
        <w:t xml:space="preserve"> </w:t>
      </w:r>
    </w:p>
    <w:p w14:paraId="337A8501" w14:textId="30D642E6" w:rsidR="00FC7434" w:rsidRPr="008D0C28" w:rsidRDefault="00FC7434" w:rsidP="00FC7434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 xml:space="preserve">Neni 7 Përcaktimi i volumit </w:t>
      </w:r>
      <w:r w:rsidR="008D0C28">
        <w:rPr>
          <w:color w:val="auto"/>
          <w:lang w:val="sq-AL"/>
        </w:rPr>
        <w:t>për periudhën e shlyerjes TSO–</w:t>
      </w:r>
      <w:r w:rsidRPr="008D0C28">
        <w:rPr>
          <w:color w:val="auto"/>
          <w:lang w:val="sq-AL"/>
        </w:rPr>
        <w:t xml:space="preserve">TSO </w:t>
      </w:r>
    </w:p>
    <w:p w14:paraId="7E4D56F8" w14:textId="4216039A" w:rsidR="00FC7434" w:rsidRPr="008D0C28" w:rsidRDefault="00FC7434" w:rsidP="00FC7434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>Neni 8 Rregullat e</w:t>
      </w:r>
      <w:r w:rsidR="008D0C28">
        <w:rPr>
          <w:color w:val="auto"/>
          <w:lang w:val="sq-AL"/>
        </w:rPr>
        <w:t xml:space="preserve"> tarifimit për shkëmbimet TSO–</w:t>
      </w:r>
      <w:r w:rsidRPr="008D0C28">
        <w:rPr>
          <w:color w:val="auto"/>
          <w:lang w:val="sq-AL"/>
        </w:rPr>
        <w:t xml:space="preserve">TSO brenda SA CE </w:t>
      </w:r>
    </w:p>
    <w:p w14:paraId="780E5F9A" w14:textId="6C6C4776" w:rsidR="00FC7434" w:rsidRPr="008D0C28" w:rsidRDefault="00FC7434" w:rsidP="00FC7434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 xml:space="preserve">Neni 9 Botimi dhe zbatimi i CCFR </w:t>
      </w:r>
    </w:p>
    <w:p w14:paraId="5A768C5B" w14:textId="57725CA7" w:rsidR="00FC7434" w:rsidRPr="008D0C28" w:rsidRDefault="00FC7434" w:rsidP="00FC7434">
      <w:pPr>
        <w:pStyle w:val="AAATEETE"/>
        <w:rPr>
          <w:color w:val="auto"/>
          <w:lang w:val="sq-AL"/>
        </w:rPr>
      </w:pPr>
      <w:r w:rsidRPr="008D0C28">
        <w:rPr>
          <w:color w:val="auto"/>
          <w:lang w:val="sq-AL"/>
        </w:rPr>
        <w:t xml:space="preserve">Neni 10 Gjuha </w:t>
      </w:r>
    </w:p>
    <w:p w14:paraId="10F3712D" w14:textId="77777777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6499753" w14:textId="1B8E8885" w:rsidR="00FC7434" w:rsidRPr="008D0C28" w:rsidRDefault="008D0C28" w:rsidP="00FC7434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 xml:space="preserve">Të gjitha </w:t>
      </w:r>
      <w:r w:rsidR="00FC7434" w:rsidRPr="008D0C28">
        <w:rPr>
          <w:b/>
          <w:lang w:val="sq-AL"/>
        </w:rPr>
        <w:t>TSO</w:t>
      </w:r>
      <w:r>
        <w:rPr>
          <w:b/>
          <w:lang w:val="sq-AL"/>
        </w:rPr>
        <w:t>-të</w:t>
      </w:r>
      <w:r w:rsidR="00937947">
        <w:rPr>
          <w:b/>
          <w:lang w:val="sq-AL"/>
        </w:rPr>
        <w:t xml:space="preserve"> </w:t>
      </w:r>
      <w:r>
        <w:rPr>
          <w:b/>
          <w:lang w:val="sq-AL"/>
        </w:rPr>
        <w:t>e</w:t>
      </w:r>
      <w:r w:rsidR="00FC7434" w:rsidRPr="008D0C28">
        <w:rPr>
          <w:b/>
          <w:lang w:val="sq-AL"/>
        </w:rPr>
        <w:t xml:space="preserve"> </w:t>
      </w:r>
      <w:r w:rsidRPr="008D0C28">
        <w:rPr>
          <w:b/>
          <w:lang w:val="sq-AL"/>
        </w:rPr>
        <w:t>Evropës Kontinentale</w:t>
      </w:r>
      <w:r w:rsidR="00FC7434" w:rsidRPr="008D0C28">
        <w:rPr>
          <w:b/>
          <w:lang w:val="sq-AL"/>
        </w:rPr>
        <w:t xml:space="preserve">, </w:t>
      </w:r>
      <w:r w:rsidRPr="008D0C28">
        <w:rPr>
          <w:b/>
          <w:lang w:val="sq-AL"/>
        </w:rPr>
        <w:t>marrin në konsideratë sa më poshtë vijon</w:t>
      </w:r>
      <w:r w:rsidR="00FC7434" w:rsidRPr="008D0C28">
        <w:rPr>
          <w:b/>
          <w:lang w:val="sq-AL"/>
        </w:rPr>
        <w:t>:</w:t>
      </w:r>
    </w:p>
    <w:p w14:paraId="303F2C09" w14:textId="77777777" w:rsidR="00FC7434" w:rsidRPr="008D0C28" w:rsidRDefault="00FC7434" w:rsidP="00702327">
      <w:pPr>
        <w:pStyle w:val="AAATEETE"/>
        <w:rPr>
          <w:lang w:val="sq-AL"/>
        </w:rPr>
      </w:pPr>
    </w:p>
    <w:p w14:paraId="028929CB" w14:textId="77777777" w:rsidR="00FC7434" w:rsidRPr="008D0C28" w:rsidRDefault="00FC7434" w:rsidP="00702327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Parathënie</w:t>
      </w:r>
    </w:p>
    <w:p w14:paraId="63150006" w14:textId="77777777" w:rsidR="00FC7434" w:rsidRPr="008D0C28" w:rsidRDefault="00FC7434" w:rsidP="00702327">
      <w:pPr>
        <w:pStyle w:val="AAATEETE"/>
        <w:rPr>
          <w:lang w:val="sq-AL"/>
        </w:rPr>
      </w:pPr>
    </w:p>
    <w:p w14:paraId="37AED7A0" w14:textId="02CBD499" w:rsidR="00FC7434" w:rsidRPr="008D0C28" w:rsidRDefault="00FC7434" w:rsidP="00702327">
      <w:pPr>
        <w:pStyle w:val="AAATEETE"/>
        <w:rPr>
          <w:rFonts w:cs="Calibri"/>
          <w:lang w:val="sq-AL"/>
        </w:rPr>
      </w:pPr>
      <w:r w:rsidRPr="008D0C28">
        <w:rPr>
          <w:rFonts w:cs="Calibri"/>
          <w:lang w:val="sq-AL"/>
        </w:rPr>
        <w:t>1</w:t>
      </w:r>
      <w:r w:rsidR="008D0C28">
        <w:rPr>
          <w:rFonts w:cs="Calibri"/>
          <w:lang w:val="sq-AL"/>
        </w:rPr>
        <w:t>.</w:t>
      </w:r>
      <w:r w:rsidR="00702327" w:rsidRPr="008D0C28"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 xml:space="preserve">Ky dokument është një propozim i përbashkët i zhvilluar nga të gjithë Operatorët e Sistemit të Transmisionit në Zonën Sinkronike të Evropës Kontinentale (në vijim referuar si “TSO të CE”) në lidhje me zhvillimin e rregullave të përbashkëta të shlyerjes për të gjitha shkëmbimet e qëllimshme të energjisë si rezultat i procesit të kontrollit të frekuencës dhe </w:t>
      </w:r>
      <w:r w:rsidR="002B0599">
        <w:rPr>
          <w:rFonts w:cs="Calibri"/>
          <w:lang w:val="sq-AL"/>
        </w:rPr>
        <w:t>periudhës së ndryshimit (rritje/</w:t>
      </w:r>
      <w:r w:rsidRPr="008D0C28">
        <w:rPr>
          <w:rFonts w:cs="Calibri"/>
          <w:lang w:val="sq-AL"/>
        </w:rPr>
        <w:t>ulje) (në tekstin e mëposhtëm “energjia e procesit të kontrollit të frekuencës dhe energjia e pe</w:t>
      </w:r>
      <w:r w:rsidR="002B0599">
        <w:rPr>
          <w:rFonts w:cs="Calibri"/>
          <w:lang w:val="sq-AL"/>
        </w:rPr>
        <w:t>riudhës së ndryshimit (rritje/</w:t>
      </w:r>
      <w:r w:rsidRPr="008D0C28">
        <w:rPr>
          <w:rFonts w:cs="Calibri"/>
          <w:lang w:val="sq-AL"/>
        </w:rPr>
        <w:t xml:space="preserve">ulje)”) në përputhje me </w:t>
      </w:r>
      <w:r w:rsidR="008D0C28" w:rsidRPr="008D0C28"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>enin 50 (3)</w:t>
      </w:r>
      <w:r w:rsidR="002B0599"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të Rregullores së Komisionit (BE) 2017/2195</w:t>
      </w:r>
      <w:r w:rsidR="008D0C28"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të 23 nëntorit 2017</w:t>
      </w:r>
      <w:r w:rsidR="002B0599"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për krijimin e një udhëzuesi mbi balancimin e energjisë elektrike (në tekstin e mëposhtëm “EBGL”). Ky propozim më poshtë quhet “CCFR”, i cili nënkupton ‘rregullat e përbashkëta të shlyerjes për Evropën Kontinentale për shkëmbimet e qëllimshme të energjisë si rezultat i procesit të kontrollit të frekuencës dhe pe</w:t>
      </w:r>
      <w:r w:rsidR="002B0599">
        <w:rPr>
          <w:rFonts w:cs="Calibri"/>
          <w:lang w:val="sq-AL"/>
        </w:rPr>
        <w:t>riudhës së ndryshimit (rritje/</w:t>
      </w:r>
      <w:r w:rsidRPr="008D0C28">
        <w:rPr>
          <w:rFonts w:cs="Calibri"/>
          <w:lang w:val="sq-AL"/>
        </w:rPr>
        <w:t>ulje)’</w:t>
      </w:r>
      <w:r w:rsidR="00C605D6">
        <w:rPr>
          <w:rFonts w:cs="Calibri"/>
          <w:lang w:val="sq-AL"/>
        </w:rPr>
        <w:t>.</w:t>
      </w:r>
    </w:p>
    <w:p w14:paraId="4992DFC1" w14:textId="212FF2E1" w:rsidR="00FC7434" w:rsidRPr="008D0C28" w:rsidRDefault="00FC7434" w:rsidP="00702327">
      <w:pPr>
        <w:pStyle w:val="AAATEETE"/>
        <w:rPr>
          <w:rFonts w:cs="Calibri"/>
          <w:lang w:val="sq-AL"/>
        </w:rPr>
      </w:pPr>
      <w:r w:rsidRPr="008D0C28">
        <w:rPr>
          <w:rFonts w:cs="Calibri"/>
          <w:lang w:val="sq-AL"/>
        </w:rPr>
        <w:t>2</w:t>
      </w:r>
      <w:r w:rsidR="008D0C28">
        <w:rPr>
          <w:rFonts w:cs="Calibri"/>
          <w:lang w:val="sq-AL"/>
        </w:rPr>
        <w:t>.</w:t>
      </w:r>
      <w:r w:rsidR="00702327" w:rsidRPr="008D0C28"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>Kjo CCFR merr parasysh parimet dhe qëllimet e përgjithshme të përcaktuara në EBGL</w:t>
      </w:r>
      <w:r w:rsidR="002B0599"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si dhe </w:t>
      </w:r>
      <w:r w:rsidR="00402BBA">
        <w:rPr>
          <w:rFonts w:cs="Calibri"/>
          <w:lang w:val="sq-AL"/>
        </w:rPr>
        <w:t>R</w:t>
      </w:r>
      <w:r w:rsidRPr="008D0C28">
        <w:rPr>
          <w:rFonts w:cs="Calibri"/>
          <w:lang w:val="sq-AL"/>
        </w:rPr>
        <w:t xml:space="preserve">regulloren (EC) </w:t>
      </w:r>
      <w:r w:rsidR="002B0599"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>r</w:t>
      </w:r>
      <w:r w:rsidR="002B0599">
        <w:rPr>
          <w:rFonts w:cs="Calibri"/>
          <w:lang w:val="sq-AL"/>
        </w:rPr>
        <w:t>.</w:t>
      </w:r>
      <w:r w:rsidRPr="008D0C28">
        <w:rPr>
          <w:rFonts w:cs="Calibri"/>
          <w:lang w:val="sq-AL"/>
        </w:rPr>
        <w:t xml:space="preserve"> 714/2009</w:t>
      </w:r>
      <w:r w:rsidR="002B0599"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të Parlamentit Evropian dhe të Këshillit</w:t>
      </w:r>
      <w:r w:rsidR="002B0599"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të datës 13 </w:t>
      </w:r>
      <w:r w:rsidR="002B0599">
        <w:rPr>
          <w:rFonts w:cs="Calibri"/>
          <w:lang w:val="sq-AL"/>
        </w:rPr>
        <w:t>k</w:t>
      </w:r>
      <w:r w:rsidRPr="008D0C28">
        <w:rPr>
          <w:rFonts w:cs="Calibri"/>
          <w:lang w:val="sq-AL"/>
        </w:rPr>
        <w:t>orrik 2009</w:t>
      </w:r>
      <w:r w:rsidR="002B0599"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mbi kushtet e akses</w:t>
      </w:r>
      <w:r w:rsidR="002B0599">
        <w:rPr>
          <w:rFonts w:cs="Calibri"/>
          <w:lang w:val="sq-AL"/>
        </w:rPr>
        <w:t>it në rrjet për shkëmbimet ndër</w:t>
      </w:r>
      <w:r w:rsidRPr="008D0C28">
        <w:rPr>
          <w:rFonts w:cs="Calibri"/>
          <w:lang w:val="sq-AL"/>
        </w:rPr>
        <w:t>kufitare të energjisë elektrike (më poshtë</w:t>
      </w:r>
      <w:r w:rsidR="00937947"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>“Rregullorja për Energjinë Elektrike”)</w:t>
      </w:r>
      <w:r w:rsidR="002B0599"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si dhe Rregullorja (KE) </w:t>
      </w:r>
      <w:r w:rsidR="002B0599"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>r</w:t>
      </w:r>
      <w:r w:rsidR="002B0599">
        <w:rPr>
          <w:rFonts w:cs="Calibri"/>
          <w:lang w:val="sq-AL"/>
        </w:rPr>
        <w:t>.</w:t>
      </w:r>
      <w:r w:rsidRPr="008D0C28">
        <w:rPr>
          <w:rFonts w:cs="Calibri"/>
          <w:lang w:val="sq-AL"/>
        </w:rPr>
        <w:t xml:space="preserve"> 2017/1485</w:t>
      </w:r>
      <w:r w:rsidR="002B0599"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e datës 2 gusht 2017</w:t>
      </w:r>
      <w:r w:rsidR="002B0599">
        <w:rPr>
          <w:rFonts w:cs="Calibri"/>
          <w:lang w:val="sq-AL"/>
        </w:rPr>
        <w:t>,</w:t>
      </w:r>
      <w:r w:rsidRPr="008D0C28">
        <w:rPr>
          <w:rFonts w:cs="Calibri"/>
          <w:lang w:val="sq-AL"/>
        </w:rPr>
        <w:t xml:space="preserve"> për krijimin e një udhëzuesi mbi operimin e sistemit të transmetimit të energjisë elektrike (më poshtë referuar si “SOGL”). Qëllimi i EBGL</w:t>
      </w:r>
      <w:r w:rsidR="002B0599">
        <w:rPr>
          <w:rFonts w:cs="Calibri"/>
          <w:lang w:val="sq-AL"/>
        </w:rPr>
        <w:t>-së</w:t>
      </w:r>
      <w:r w:rsidRPr="008D0C28">
        <w:rPr>
          <w:rFonts w:cs="Calibri"/>
          <w:lang w:val="sq-AL"/>
        </w:rPr>
        <w:t xml:space="preserve"> është integrimi i tregjeve të balancimit të energjisë. Integrimi i tregjeve të balancimit të energjisë duhet të lehtësohet me krijimin e platformave të </w:t>
      </w:r>
      <w:r w:rsidRPr="008D0C28">
        <w:rPr>
          <w:rFonts w:cs="Calibri"/>
          <w:lang w:val="sq-AL"/>
        </w:rPr>
        <w:lastRenderedPageBreak/>
        <w:t>përbashkëta Evropiane për operimin e procesit të netimit të disbalancave dhe mundësimin e shkëmbimit të energjisë balancuese nga rezervat e restaurimit të frekuencave dhe rezervat zëvendësuese. Bashkëpunimi midis TSO-ve duhet të kufizohet rreptësisht në atë që është e nevojshme për dizajnimin, zbatimin dhe funksionimin efikas dhe të sigurt të këtyre platformave Evropiane.</w:t>
      </w:r>
    </w:p>
    <w:p w14:paraId="229EC5A8" w14:textId="30B38CB6" w:rsidR="00FC7434" w:rsidRPr="008D0C28" w:rsidRDefault="00FC7434" w:rsidP="007023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3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Nenet 50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(3) dhe 50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(8)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EBGL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përcakton afatin për dorëzimin e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 xml:space="preserve"> CCFR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tek ERE dhe disa kërkesa specifike për përmbajtjen e tyre: </w:t>
      </w:r>
    </w:p>
    <w:p w14:paraId="40119001" w14:textId="63B644C0" w:rsidR="00FC7434" w:rsidRPr="008D0C28" w:rsidRDefault="008D0C28" w:rsidP="007023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iCs/>
          <w:color w:val="000000"/>
          <w:sz w:val="24"/>
          <w:szCs w:val="24"/>
          <w:lang w:val="sq-AL"/>
        </w:rPr>
        <w:t>“</w:t>
      </w:r>
      <w:r w:rsidR="00FC7434"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>3. Tetëmbëdhjetë muaj pas hyrjes në fuqi të kësaj Rregulloreje, të gjitha TSO-të që shkëmbejnë energji në mënyrë të qëllimtë në një zonë sinkron duhet të zhvillojnë një propozim për rregullat e përbashkëta të shlyerjes të zbatueshme për të gjitha shkëmbimet e qëllimshme të energjisë, si rezultat i një ose të dyja pikave si në vijim:</w:t>
      </w:r>
    </w:p>
    <w:p w14:paraId="7CCE4542" w14:textId="3A72FC71" w:rsidR="00FC7434" w:rsidRPr="008D0C28" w:rsidRDefault="00FC7434" w:rsidP="007023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a) procesit të kontrollit të frekuencës sipas </w:t>
      </w:r>
      <w:r w:rsidR="008D0C28"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>nenit 142</w:t>
      </w:r>
      <w:r w:rsidR="002B0599"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  <w:r w:rsidR="008D0C28"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të rregullores </w:t>
      </w:r>
      <w:r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>(BE) 2017/1485;</w:t>
      </w:r>
    </w:p>
    <w:p w14:paraId="1043FF73" w14:textId="684B50B1" w:rsidR="00FC7434" w:rsidRDefault="00FC7434" w:rsidP="007023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>b) pe</w:t>
      </w:r>
      <w:r w:rsidR="002B0599">
        <w:rPr>
          <w:rFonts w:ascii="Garamond" w:hAnsi="Garamond" w:cs="Calibri"/>
          <w:iCs/>
          <w:color w:val="000000"/>
          <w:sz w:val="24"/>
          <w:szCs w:val="24"/>
          <w:lang w:val="sq-AL"/>
        </w:rPr>
        <w:t>riudhës së ndryshimit (rritje/</w:t>
      </w:r>
      <w:r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ulje) sipas </w:t>
      </w:r>
      <w:r w:rsidR="008D0C28"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>nenit 136</w:t>
      </w:r>
      <w:r w:rsidR="002B0599"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  <w:r w:rsidR="008D0C28"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të rregullores </w:t>
      </w:r>
      <w:r w:rsidRPr="008D0C28">
        <w:rPr>
          <w:rFonts w:ascii="Garamond" w:hAnsi="Garamond" w:cs="Calibri"/>
          <w:iCs/>
          <w:color w:val="000000"/>
          <w:sz w:val="24"/>
          <w:szCs w:val="24"/>
          <w:lang w:val="sq-AL"/>
        </w:rPr>
        <w:t>(BE) 2017/1485.</w:t>
      </w:r>
    </w:p>
    <w:p w14:paraId="62785FCD" w14:textId="3F002473" w:rsidR="008D0C28" w:rsidRPr="008D0C28" w:rsidRDefault="008D0C28" w:rsidP="007023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iCs/>
          <w:color w:val="000000"/>
          <w:sz w:val="24"/>
          <w:szCs w:val="24"/>
          <w:lang w:val="sq-AL"/>
        </w:rPr>
        <w:t>......</w:t>
      </w:r>
    </w:p>
    <w:p w14:paraId="1BAB85AB" w14:textId="7CFDF042" w:rsidR="00FC7434" w:rsidRPr="008D0C28" w:rsidRDefault="00FC7434" w:rsidP="007023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8.</w:t>
      </w:r>
      <w:r w:rsidR="0093794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gjitha TSO-të do të krijojnë një mekanizëm të koordinuar për rregullimet e shlyerjeve ndërmjet tyre.</w:t>
      </w:r>
      <w:r w:rsid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1E33AF04" w14:textId="0EDB84A2" w:rsidR="00FC7434" w:rsidRPr="008D0C28" w:rsidRDefault="008D0C28" w:rsidP="007023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4.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CCFR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-ja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kontribuon në objektivin e mosdiskriminimit dhe transparencës në balancimin e tregjeve në pajtim me </w:t>
      </w:r>
      <w:r w:rsidR="00402BBA">
        <w:rPr>
          <w:rFonts w:ascii="Garamond" w:hAnsi="Garamond" w:cs="Calibri"/>
          <w:color w:val="000000"/>
          <w:sz w:val="24"/>
          <w:szCs w:val="24"/>
          <w:lang w:val="sq-AL"/>
        </w:rPr>
        <w:t>nenin 3 (1) (a) dhe nenet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3 (2) (a) dhe 3 (2) (b) të EBGL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, të njëjtat rregulla të shlyerjes do të zbatohen në të gjithë Zonën Sinkronike të Evropës Kontinentale dhe ato do të jenë në dispozicion të publikut. </w:t>
      </w:r>
    </w:p>
    <w:p w14:paraId="3FCDE147" w14:textId="3B78F9FC" w:rsidR="00FC7434" w:rsidRPr="008D0C28" w:rsidRDefault="008D0C28" w:rsidP="007023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5.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CCFR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-ja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kontribuon në objektivin e rritjes së efikasitetit të tregjeve Evropiane dhe kombëtare të balancimit, në përputhje me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nenin 3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(1) (b) të EBGL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, duke qenë se programi i kompensimit zëvendësohet me rregullat e përbashkëta të shlyerjes të zbatueshme për të gjithë Zonën Sinkronike të Evropës Kontinentale.</w:t>
      </w:r>
    </w:p>
    <w:p w14:paraId="58483CCE" w14:textId="1783EF1D" w:rsidR="00FC7434" w:rsidRPr="008D0C28" w:rsidRDefault="008D0C28" w:rsidP="007023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6.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CCFR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-ja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i shërben kërkesës së nenit 3 (2) (h) të EBGL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duke qenë se kuadri teknik i propozuar bazohet në standardet evropiane të miratuara që tashmë janë në veprim.</w:t>
      </w:r>
    </w:p>
    <w:p w14:paraId="42E8E5D9" w14:textId="5A93CA8C" w:rsidR="008D0C28" w:rsidRDefault="008D0C28" w:rsidP="008D0C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7.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CCFR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-ja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u zhvillua duke marrë parasysh konsistencën me rregullat e shlyerjes së shkëmbimeve të paqëllimshme të energjisë brenda Zonës Sinkronike të Evropës Kontinentale në përputhje me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ne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nin 51(1) të EBGL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-së.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60AC2EE6" w14:textId="4D1E482E" w:rsidR="00FC7434" w:rsidRPr="008D0C28" w:rsidRDefault="008D0C28" w:rsidP="008D0C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8.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CCFR u zhvillua duke marrë parasysh konsistencën me rregullat e shlyerjes së shkëmbimeve të qëllimshme të energjisë brenda zonave sinkronike në përputhje me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enin 50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(4) të EBGL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të shkëmbimeve të paqëllimshme në përputhje me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nenin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51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(2) të EBGL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489006A5" w14:textId="46FA0B98" w:rsidR="00FC7434" w:rsidRPr="008D0C28" w:rsidRDefault="008D0C28" w:rsidP="007023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9.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Në përfundim, CCFR kontribuon në objektivat e përgjithshme të EBGL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585BC0A8" w14:textId="77777777" w:rsidR="00FC7434" w:rsidRPr="008D0C28" w:rsidRDefault="00FC7434" w:rsidP="00702327">
      <w:pPr>
        <w:pStyle w:val="AAATEETE"/>
        <w:jc w:val="center"/>
        <w:rPr>
          <w:lang w:val="sq-AL"/>
        </w:rPr>
      </w:pPr>
    </w:p>
    <w:p w14:paraId="52FAC944" w14:textId="77777777" w:rsidR="00FC7434" w:rsidRPr="008D0C28" w:rsidRDefault="00FC7434" w:rsidP="00702327">
      <w:pPr>
        <w:pStyle w:val="AAATEETE"/>
        <w:jc w:val="center"/>
        <w:rPr>
          <w:rFonts w:cs="Cambria"/>
          <w:b/>
          <w:bCs/>
          <w:lang w:val="sq-AL"/>
        </w:rPr>
      </w:pPr>
      <w:r w:rsidRPr="008D0C28">
        <w:rPr>
          <w:rFonts w:cs="Cambria"/>
          <w:b/>
          <w:bCs/>
          <w:lang w:val="sq-AL"/>
        </w:rPr>
        <w:t>Shkurtime</w:t>
      </w:r>
    </w:p>
    <w:p w14:paraId="7A08268B" w14:textId="77777777" w:rsidR="00FC7434" w:rsidRPr="008D0C28" w:rsidRDefault="00FC7434" w:rsidP="00702327">
      <w:pPr>
        <w:pStyle w:val="AAATEETE"/>
        <w:jc w:val="center"/>
        <w:rPr>
          <w:rFonts w:cs="Cambria"/>
          <w:b/>
          <w:bCs/>
          <w:lang w:val="sq-AL"/>
        </w:rPr>
      </w:pPr>
    </w:p>
    <w:p w14:paraId="25BB9178" w14:textId="77777777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Lista e shkurtimeve të përdorura në këtë CCU është si në vijim: </w:t>
      </w:r>
    </w:p>
    <w:p w14:paraId="27C85C85" w14:textId="2C6387BE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ACE: Gabim i Zonës së Kontrollit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4C922F6F" w14:textId="015B5E04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ACER: Agjencia për Bashkëpunimin e Rregullatorëve të Energjisë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1F329C5A" w14:textId="104D3C2E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ANES: programet e jasht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me të bashkuara të rrjeteve;</w:t>
      </w:r>
    </w:p>
    <w:p w14:paraId="73A4F92A" w14:textId="6FCAC602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CCFR: rregullat e zakonshme të shlyerjes për Evropën Kontinentale për shkëmbimet e energjisë të synuara si rezultat i procesit të kontrollit të frekuencës dhe 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periudhës së ndryshimit (rritje/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ulje)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1AF7C39C" w14:textId="511B2ABE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CCU: rregullat e përbashkëta të shlyerjes për Evropën Kontinentale për të gjitha shkëmbimet e energjisë të paqëllimshme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2E17FB2F" w14:textId="1A43AA25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EBGL: Rregullorja e Komisionit (BE) 2017/2195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e 23 nëntorit 2017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krijimin e një udhëzuesi mbi balancimin e energjisë elektrike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690C06CC" w14:textId="30E30F3B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-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Rregullorja e Energjisë Elektrike: Rregullorja (EC) 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r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714/2009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e Parlamentit Evropian dhe e Këshillit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e datës 13 korrik 2009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mbi kushtet për akses në rrjet për shkëmbimet ndërkufitare të energjisë elektrike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0D6DC051" w14:textId="5EF4AEEB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Zona LFC: zona e kontro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llit të frekuencës së ngarkesës;</w:t>
      </w:r>
    </w:p>
    <w:p w14:paraId="46778EBC" w14:textId="6BE74B07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Blloku LFC: blloku i kontrollit të frekuencës së ngarkesës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3AB9BAF" w14:textId="23364DB2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SA CE: Zona Sinkronike e Evropës Kontinentale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19807D2A" w14:textId="27242E6F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SOGL: Rregullorja (KE) nr. 2017/1485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e datës 2 gusht 2017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krijimin e një udhëzuesi mbi operimin e sistemit të transmetimit të energjisë elektrike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14E8002" w14:textId="030CA9DF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TSO: Operatori i Sistemit të Transmetimit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</w:p>
    <w:p w14:paraId="1242EA24" w14:textId="77777777" w:rsidR="00702327" w:rsidRPr="008D0C28" w:rsidRDefault="00702327" w:rsidP="00702327">
      <w:pPr>
        <w:pStyle w:val="AAATEETE"/>
        <w:jc w:val="center"/>
        <w:rPr>
          <w:lang w:val="sq-AL"/>
        </w:rPr>
      </w:pPr>
    </w:p>
    <w:p w14:paraId="68A5EC18" w14:textId="77777777" w:rsidR="00FC7434" w:rsidRPr="008D0C28" w:rsidRDefault="00FC7434" w:rsidP="00702327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1</w:t>
      </w:r>
    </w:p>
    <w:p w14:paraId="405F3B72" w14:textId="2C1D324F" w:rsidR="00FC7434" w:rsidRPr="008D0C28" w:rsidRDefault="00FC7434" w:rsidP="00702327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Objekti dhe qëllimi</w:t>
      </w:r>
    </w:p>
    <w:p w14:paraId="20785F61" w14:textId="77777777" w:rsidR="00FC7434" w:rsidRPr="008D0C28" w:rsidRDefault="00FC7434" w:rsidP="00702327">
      <w:pPr>
        <w:pStyle w:val="AAATEETE"/>
        <w:jc w:val="center"/>
        <w:rPr>
          <w:lang w:val="sq-AL"/>
        </w:rPr>
      </w:pPr>
    </w:p>
    <w:p w14:paraId="44EFD358" w14:textId="321612C5" w:rsidR="00FC7434" w:rsidRPr="008D0C28" w:rsidRDefault="008D0C28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1.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Rregullat e zakonshme të shlyerjes për të gjitha shkëmbimet e paqëllimshme të energjisë si rezultat i procesit të kontrollit të frekuencës dhe 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periudhës së ndryshimit (rritje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/ulje) siç përcaktohet në këtë CCFR është propozimi i përbashkët i të gjithë TSO-ve të SA CE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përputhje me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enin 50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(3) të EBGL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3F8BBF45" w14:textId="4343F49D" w:rsidR="00FC7434" w:rsidRPr="008D0C28" w:rsidRDefault="008D0C28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2.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Rregullat e mëposhtme të shlyerjes janë jashtë fushëveprimit të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F6796">
        <w:rPr>
          <w:rFonts w:ascii="Garamond" w:hAnsi="Garamond" w:cs="Calibri"/>
          <w:color w:val="000000"/>
          <w:sz w:val="24"/>
          <w:szCs w:val="24"/>
          <w:lang w:val="sq-AL"/>
        </w:rPr>
        <w:t>CCFR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:</w:t>
      </w:r>
    </w:p>
    <w:p w14:paraId="6F358DE9" w14:textId="14FCFDD6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a)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rregullat e përbashkëta të shlyerjes për shkëmbimet e qëllimshme të energjisë në pajtim me nenin 50 (1) të EBGL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492074C" w14:textId="607C20A3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b)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rregullat e përbashkëta të shlyerjes për shkëmbimet e qëllimshme të energjisë në pajtim me nenin 50 (4) të EBGL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212EDEEE" w14:textId="1B928EC7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c)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rregullat e përbashkëta të shlyerjes për shkëmbimin e paqëllimshëm të energjisë në përputhje me 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enin 51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(1) të EBGL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1E2B0EBB" w14:textId="56B93E29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d)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rregullat e përbashkëta të shlyerjes për shkëmbimin e paqëllimshëm të energjisë në përputhje me </w:t>
      </w:r>
      <w:r w:rsidR="008D0C28" w:rsidRP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enin 51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(2) të EBGL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4E0CD3C" w14:textId="3CAA9AC9" w:rsidR="00FC7434" w:rsidRPr="008D0C28" w:rsidRDefault="008D0C28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3.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Qeverisja, ndarja e kostos dhe vendimmarrja do të organizohen sipas kërkesave të EBGL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, por nuk janë brenda fushëveprimit të kësaj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 xml:space="preserve"> CCFR</w:t>
      </w:r>
      <w:r w:rsidR="00FF6796">
        <w:rPr>
          <w:rFonts w:ascii="Garamond" w:hAnsi="Garamond" w:cs="Calibri"/>
          <w:color w:val="000000"/>
          <w:sz w:val="24"/>
          <w:szCs w:val="24"/>
          <w:lang w:val="sq-AL"/>
        </w:rPr>
        <w:t xml:space="preserve">. </w:t>
      </w:r>
    </w:p>
    <w:p w14:paraId="6F2E6490" w14:textId="77777777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1D4EC8F" w14:textId="77777777" w:rsidR="00FC7434" w:rsidRPr="008D0C28" w:rsidRDefault="00FC7434" w:rsidP="00702327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2</w:t>
      </w:r>
    </w:p>
    <w:p w14:paraId="40841AB7" w14:textId="77777777" w:rsidR="00FC7434" w:rsidRPr="008D0C28" w:rsidRDefault="00FC7434" w:rsidP="00702327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Përkufizime dhe interpretime</w:t>
      </w:r>
    </w:p>
    <w:p w14:paraId="2701C67C" w14:textId="77777777" w:rsidR="00FC7434" w:rsidRPr="008D0C28" w:rsidRDefault="00FC7434" w:rsidP="00702327">
      <w:pPr>
        <w:pStyle w:val="AAATEETE"/>
        <w:rPr>
          <w:lang w:val="sq-AL"/>
        </w:rPr>
      </w:pPr>
    </w:p>
    <w:p w14:paraId="0A283B06" w14:textId="781AD586" w:rsidR="00FC7434" w:rsidRPr="008D0C28" w:rsidRDefault="008D0C28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1.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Për qëllimet e kësaj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 xml:space="preserve"> CCFR-je,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termat e përdorur do të kenë përkufizimet që u janë dhënë atyre në nenin 2 të EBGL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në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enin 3 të SOGL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2F481420" w14:textId="1EC7DFF8" w:rsidR="008D0C28" w:rsidRDefault="008D0C28" w:rsidP="008D0C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2.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Përveç kësaj, në këtë CCFR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do të zbatohen kushtet e mëposhtme:</w:t>
      </w:r>
    </w:p>
    <w:p w14:paraId="24231B87" w14:textId="3BF31935" w:rsidR="00FC7434" w:rsidRPr="008D0C28" w:rsidRDefault="00FC7434" w:rsidP="008D0C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a)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CCU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>-ja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i referohet ‘Të gjitha propozimeve të TSO-ve kontinentale evropiane për rregullat e shlyerjeve të përbashkëta për të gjitha shkëmbimet e energjisë të paqëllimshme në përputhje me </w:t>
      </w:r>
      <w:r w:rsidR="008D0C28" w:rsidRP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enin 51 (1)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Rregullores së Komisionit (BE) 2017/2195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23 nëntorit 2017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krijimin e një udhëzuesi mbi balancimin e energjisë elektrike</w:t>
      </w:r>
    </w:p>
    <w:p w14:paraId="71E3C861" w14:textId="66DE2518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b)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‘Energji e procesit të kontrollit të frekuencës’ nënkupton energjinë që është importuar ose eksportuar nga çdo </w:t>
      </w:r>
      <w:r w:rsidR="00FF6796">
        <w:rPr>
          <w:rFonts w:ascii="Garamond" w:hAnsi="Garamond" w:cs="Calibri"/>
          <w:color w:val="000000"/>
          <w:sz w:val="24"/>
          <w:szCs w:val="24"/>
          <w:lang w:val="sq-AL"/>
        </w:rPr>
        <w:t xml:space="preserve">zonë LFC-je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periudhën e shlyerjes 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TSO–TSO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në përputhje me procesin e kontrollit të frekuencës sipas </w:t>
      </w:r>
      <w:r w:rsidR="008D0C28" w:rsidRPr="008D0C28">
        <w:rPr>
          <w:rFonts w:ascii="Garamond" w:hAnsi="Garamond" w:cs="Calibri"/>
          <w:color w:val="000000"/>
          <w:sz w:val="24"/>
          <w:szCs w:val="24"/>
          <w:lang w:val="sq-AL"/>
        </w:rPr>
        <w:t>ne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nit 142 të SOGL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. Energjia e procesit të kontrollit të frekuencës është e barabartë me integralin e gabimit të kontrollit të frekuencës sipas </w:t>
      </w:r>
      <w:r w:rsidR="008D0C28" w:rsidRPr="008D0C28">
        <w:rPr>
          <w:rFonts w:ascii="Garamond" w:hAnsi="Garamond" w:cs="Calibri"/>
          <w:color w:val="000000"/>
          <w:sz w:val="24"/>
          <w:szCs w:val="24"/>
          <w:lang w:val="sq-AL"/>
        </w:rPr>
        <w:t>ne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nit 3 të SOGL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mbi një periudhë shlyerje TSO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TSO dhe korrespondon me shkëmbimet e qëllimshme të energjisë sipas </w:t>
      </w:r>
      <w:r w:rsidR="008D0C28" w:rsidRPr="008D0C28">
        <w:rPr>
          <w:rFonts w:ascii="Garamond" w:hAnsi="Garamond" w:cs="Calibri"/>
          <w:color w:val="000000"/>
          <w:sz w:val="24"/>
          <w:szCs w:val="24"/>
          <w:lang w:val="sq-AL"/>
        </w:rPr>
        <w:t>ne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nit 50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(3)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(a) të EBGL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4A8B363C" w14:textId="29BDF1D9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c)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‘Energji e p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eriudhës së ndryshimit (rritje/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ulje)” domethënë shkëmbimet e qëllimshme të energjisë sipas </w:t>
      </w:r>
      <w:r w:rsidR="008D0C28" w:rsidRPr="008D0C28">
        <w:rPr>
          <w:rFonts w:ascii="Garamond" w:hAnsi="Garamond" w:cs="Calibri"/>
          <w:color w:val="000000"/>
          <w:sz w:val="24"/>
          <w:szCs w:val="24"/>
          <w:lang w:val="sq-AL"/>
        </w:rPr>
        <w:t>nen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it 50</w:t>
      </w:r>
      <w:r w:rsidR="00402BB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(3)</w:t>
      </w:r>
      <w:r w:rsidR="00402BB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(b) të EBGL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enit 136 të SOGL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59AC8585" w14:textId="06549E51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d)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‘Periudha e shlyerjes TSO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TSO’ nënkupton, në kontekstin e kësaj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 xml:space="preserve"> CCFR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, njësinë e kohës për të cilën llogariten shkëmbimet e paqëllimshme dhe të shkëmbimeve të qëllimshme të energjisë si rezultat i procesit të kontrollit të frekuencës dhe pe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riudhës së ndryshimit (rritje/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ulje);</w:t>
      </w:r>
    </w:p>
    <w:p w14:paraId="4A8B2478" w14:textId="5C8C9FAD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‘shkëmbimet e paqëllimshme të energjisë’ janë të barabarta me integralin e gabimit të zonës së kontrollit (ACE) sipas </w:t>
      </w:r>
      <w:r w:rsidR="008D0C28" w:rsidRP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enit 3 të SOGL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mbi periudhën e shlyerjes TSO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TSO.</w:t>
      </w:r>
    </w:p>
    <w:p w14:paraId="5702F1AC" w14:textId="7F3A121A" w:rsidR="00FC7434" w:rsidRPr="008D0C28" w:rsidRDefault="008D0C28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3.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Në këtë CCFR, me përjashtim të rastit kur konteksti kërkon të kundërtën: </w:t>
      </w:r>
    </w:p>
    <w:p w14:paraId="26FE4AC6" w14:textId="5927772F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a)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ç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mimet për shkëmbimet e qëllimshme të energjisë jepen në EUR/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mwh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04874801" w14:textId="2171645A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b)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‘Evropa Kontinentale’ dhe ‘SA CE’ nënkuptojnë Zonën Sinkronike të Evropës Kontinentale.</w:t>
      </w:r>
    </w:p>
    <w:p w14:paraId="54E1F912" w14:textId="74C76204" w:rsidR="00FC7434" w:rsidRPr="008D0C28" w:rsidRDefault="008D0C28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4.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Gjithashtu, me përjashtim të rastit kur konteksti kërkon të kundërtën: </w:t>
      </w:r>
    </w:p>
    <w:p w14:paraId="7C1D15E8" w14:textId="200821FA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a)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njëjësi tregon shumësin dhe anasjelltas;</w:t>
      </w:r>
    </w:p>
    <w:p w14:paraId="02DE547B" w14:textId="4F8615F1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b)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tabela e përmbajtjeve dhe titujt vendosen vetëm për lehtësi dhe nuk ndikojnë në interpretimin e kësaj CCFR; </w:t>
      </w:r>
    </w:p>
    <w:p w14:paraId="265B9514" w14:textId="4754278E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c)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çdo referencë në legjislacion, rregullore, direktivë, urdhër, instrument, kod ose ndonjë akt tjetër do të përfshijë çdo modifi</w:t>
      </w:r>
      <w:r w:rsidR="002B0599">
        <w:rPr>
          <w:rFonts w:ascii="Garamond" w:hAnsi="Garamond" w:cs="Calibri"/>
          <w:color w:val="000000"/>
          <w:sz w:val="24"/>
          <w:szCs w:val="24"/>
          <w:lang w:val="sq-AL"/>
        </w:rPr>
        <w:t>kim, zgjatje ose ri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miratim të tij në fuqi. </w:t>
      </w:r>
    </w:p>
    <w:p w14:paraId="2272E20F" w14:textId="02B6E46D" w:rsidR="00FC7434" w:rsidRPr="008D0C28" w:rsidRDefault="008D0C28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5.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Shlyerja sipas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enit 3</w:t>
      </w:r>
      <w:r w:rsidR="00402BB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(8) dhe 3</w:t>
      </w:r>
      <w:r w:rsidR="00402BB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(9) të kësaj CCFR duhet të përputhet me konventën e shenjave në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abelën 1:</w:t>
      </w:r>
    </w:p>
    <w:p w14:paraId="771FC242" w14:textId="77777777" w:rsidR="00702327" w:rsidRPr="008D0C28" w:rsidRDefault="00702327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230D8C78" w14:textId="611C3F3C" w:rsidR="00FC7434" w:rsidRPr="002B0599" w:rsidRDefault="00FC7434" w:rsidP="00EB624B">
      <w:pPr>
        <w:pStyle w:val="AAATEETE"/>
        <w:jc w:val="left"/>
        <w:rPr>
          <w:lang w:val="sq-AL"/>
        </w:rPr>
      </w:pPr>
      <w:r w:rsidRPr="002B0599">
        <w:rPr>
          <w:lang w:val="sq-AL"/>
        </w:rPr>
        <w:t>Tabela 1</w:t>
      </w:r>
      <w:r w:rsidR="002B0599" w:rsidRPr="002B0599">
        <w:rPr>
          <w:lang w:val="sq-AL"/>
        </w:rPr>
        <w:t>.</w:t>
      </w:r>
      <w:r w:rsidRPr="002B0599">
        <w:rPr>
          <w:lang w:val="sq-AL"/>
        </w:rPr>
        <w:t xml:space="preserve"> Drejtimi i pagesës pë</w:t>
      </w:r>
      <w:r w:rsidR="00EB624B">
        <w:rPr>
          <w:lang w:val="sq-AL"/>
        </w:rPr>
        <w:t xml:space="preserve">r shlyerjen e TSO-së sipas CCFR </w:t>
      </w:r>
    </w:p>
    <w:tbl>
      <w:tblPr>
        <w:tblStyle w:val="Tabelraster1"/>
        <w:tblW w:w="0" w:type="auto"/>
        <w:tblInd w:w="421" w:type="dxa"/>
        <w:tblLook w:val="04A0" w:firstRow="1" w:lastRow="0" w:firstColumn="1" w:lastColumn="0" w:noHBand="0" w:noVBand="1"/>
      </w:tblPr>
      <w:tblGrid>
        <w:gridCol w:w="2664"/>
        <w:gridCol w:w="2864"/>
        <w:gridCol w:w="2977"/>
      </w:tblGrid>
      <w:tr w:rsidR="00FC7434" w:rsidRPr="008D0C28" w14:paraId="65E7AF94" w14:textId="77777777" w:rsidTr="008D0C28"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2A179" w14:textId="77777777" w:rsidR="00FC7434" w:rsidRPr="008D0C28" w:rsidRDefault="00FC7434" w:rsidP="00702327">
            <w:pPr>
              <w:jc w:val="both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7C8C" w14:textId="0ECEB9B0" w:rsidR="00FC7434" w:rsidRPr="008D0C28" w:rsidRDefault="00FC7434" w:rsidP="002B0599">
            <w:pPr>
              <w:jc w:val="center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Çmimi i shlyerjes TSO</w:t>
            </w:r>
            <w:r w:rsidR="002B0599">
              <w:rPr>
                <w:rFonts w:ascii="Garamond" w:hAnsi="Garamond" w:cstheme="minorHAnsi"/>
                <w:sz w:val="20"/>
                <w:szCs w:val="24"/>
                <w:lang w:val="sq-AL"/>
              </w:rPr>
              <w:t>–</w:t>
            </w: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TSO: pozitiv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BB551" w14:textId="3D13C440" w:rsidR="00FC7434" w:rsidRPr="008D0C28" w:rsidRDefault="00FC7434" w:rsidP="002B0599">
            <w:pPr>
              <w:jc w:val="center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Çmimi i shlyerjes TSO</w:t>
            </w:r>
            <w:r w:rsidR="002B0599">
              <w:rPr>
                <w:rFonts w:ascii="Garamond" w:hAnsi="Garamond" w:cstheme="minorHAnsi"/>
                <w:sz w:val="20"/>
                <w:szCs w:val="24"/>
                <w:lang w:val="sq-AL"/>
              </w:rPr>
              <w:t>–</w:t>
            </w: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TSO: negativ</w:t>
            </w:r>
          </w:p>
        </w:tc>
      </w:tr>
      <w:tr w:rsidR="00FC7434" w:rsidRPr="008D0C28" w14:paraId="400B0AEA" w14:textId="77777777" w:rsidTr="008D0C28"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AD31" w14:textId="4C9E46AA" w:rsidR="00FC7434" w:rsidRPr="008D0C28" w:rsidRDefault="00FC7434" w:rsidP="00702327">
            <w:pPr>
              <w:jc w:val="both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Vëllimi i shlyerjes së TSO</w:t>
            </w:r>
            <w:r w:rsidR="002B0599">
              <w:rPr>
                <w:rFonts w:ascii="Garamond" w:hAnsi="Garamond" w:cstheme="minorHAnsi"/>
                <w:sz w:val="20"/>
                <w:szCs w:val="24"/>
                <w:lang w:val="sq-AL"/>
              </w:rPr>
              <w:t>-ve</w:t>
            </w: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: pozitiv (eksportet e TSO</w:t>
            </w:r>
            <w:r w:rsidR="002B0599">
              <w:rPr>
                <w:rFonts w:ascii="Garamond" w:hAnsi="Garamond" w:cstheme="minorHAnsi"/>
                <w:sz w:val="20"/>
                <w:szCs w:val="24"/>
                <w:lang w:val="sq-AL"/>
              </w:rPr>
              <w:t>-ve</w:t>
            </w: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DDE8" w14:textId="6F09D214" w:rsidR="00FC7434" w:rsidRPr="008D0C28" w:rsidRDefault="00FC7434" w:rsidP="00702327">
            <w:pPr>
              <w:jc w:val="center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Pagesa për TSO</w:t>
            </w:r>
            <w:r w:rsidR="002B0599">
              <w:rPr>
                <w:rFonts w:ascii="Garamond" w:hAnsi="Garamond" w:cstheme="minorHAnsi"/>
                <w:sz w:val="20"/>
                <w:szCs w:val="24"/>
                <w:lang w:val="sq-AL"/>
              </w:rPr>
              <w:t>-të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F475" w14:textId="6B158319" w:rsidR="00FC7434" w:rsidRPr="008D0C28" w:rsidRDefault="00FC7434" w:rsidP="00702327">
            <w:pPr>
              <w:jc w:val="center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Pagesa nga TSO</w:t>
            </w:r>
            <w:r w:rsidR="002B0599">
              <w:rPr>
                <w:rFonts w:ascii="Garamond" w:hAnsi="Garamond" w:cstheme="minorHAnsi"/>
                <w:sz w:val="20"/>
                <w:szCs w:val="24"/>
                <w:lang w:val="sq-AL"/>
              </w:rPr>
              <w:t>-të</w:t>
            </w:r>
          </w:p>
        </w:tc>
      </w:tr>
      <w:tr w:rsidR="00FC7434" w:rsidRPr="008D0C28" w14:paraId="24354D0E" w14:textId="77777777" w:rsidTr="008D0C28"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87C1" w14:textId="74250E30" w:rsidR="00FC7434" w:rsidRPr="008D0C28" w:rsidRDefault="00FC7434" w:rsidP="00702327">
            <w:pPr>
              <w:jc w:val="both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Vëllimi i shlyerjes së TSO</w:t>
            </w:r>
            <w:r w:rsidR="002B0599">
              <w:rPr>
                <w:rFonts w:ascii="Garamond" w:hAnsi="Garamond" w:cstheme="minorHAnsi"/>
                <w:sz w:val="20"/>
                <w:szCs w:val="24"/>
                <w:lang w:val="sq-AL"/>
              </w:rPr>
              <w:t>-ve</w:t>
            </w: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: negativ (importet e TSO</w:t>
            </w:r>
            <w:r w:rsidR="002B0599">
              <w:rPr>
                <w:rFonts w:ascii="Garamond" w:hAnsi="Garamond" w:cstheme="minorHAnsi"/>
                <w:sz w:val="20"/>
                <w:szCs w:val="24"/>
                <w:lang w:val="sq-AL"/>
              </w:rPr>
              <w:t>-ve</w:t>
            </w: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ABB4B" w14:textId="66CD3FCD" w:rsidR="00FC7434" w:rsidRPr="008D0C28" w:rsidRDefault="00FC7434" w:rsidP="00702327">
            <w:pPr>
              <w:jc w:val="center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Pagesa nga TSO</w:t>
            </w:r>
            <w:r w:rsidR="002B0599">
              <w:rPr>
                <w:rFonts w:ascii="Garamond" w:hAnsi="Garamond" w:cstheme="minorHAnsi"/>
                <w:sz w:val="20"/>
                <w:szCs w:val="24"/>
                <w:lang w:val="sq-AL"/>
              </w:rPr>
              <w:t>-të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037B0" w14:textId="335337F1" w:rsidR="00FC7434" w:rsidRPr="008D0C28" w:rsidRDefault="00FC7434" w:rsidP="00702327">
            <w:pPr>
              <w:jc w:val="center"/>
              <w:rPr>
                <w:rFonts w:ascii="Garamond" w:hAnsi="Garamond" w:cstheme="minorHAnsi"/>
                <w:sz w:val="20"/>
                <w:szCs w:val="24"/>
                <w:lang w:val="sq-AL"/>
              </w:rPr>
            </w:pPr>
            <w:r w:rsidRPr="008D0C28">
              <w:rPr>
                <w:rFonts w:ascii="Garamond" w:hAnsi="Garamond" w:cstheme="minorHAnsi"/>
                <w:sz w:val="20"/>
                <w:szCs w:val="24"/>
                <w:lang w:val="sq-AL"/>
              </w:rPr>
              <w:t>Pagesa për TSO</w:t>
            </w:r>
            <w:r w:rsidR="002B0599">
              <w:rPr>
                <w:rFonts w:ascii="Garamond" w:hAnsi="Garamond" w:cstheme="minorHAnsi"/>
                <w:sz w:val="20"/>
                <w:szCs w:val="24"/>
                <w:lang w:val="sq-AL"/>
              </w:rPr>
              <w:t>-të</w:t>
            </w:r>
          </w:p>
        </w:tc>
      </w:tr>
    </w:tbl>
    <w:p w14:paraId="034E918F" w14:textId="77777777" w:rsidR="00702327" w:rsidRPr="008D0C28" w:rsidRDefault="00702327" w:rsidP="00702327">
      <w:pPr>
        <w:pStyle w:val="AAATEETE"/>
        <w:rPr>
          <w:lang w:val="sq-AL"/>
        </w:rPr>
      </w:pPr>
    </w:p>
    <w:p w14:paraId="2BD9DE11" w14:textId="77777777" w:rsidR="00FC7434" w:rsidRPr="008D0C28" w:rsidRDefault="00FC7434" w:rsidP="00702327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3</w:t>
      </w:r>
    </w:p>
    <w:p w14:paraId="6028ECB1" w14:textId="77777777" w:rsidR="00FC7434" w:rsidRPr="008D0C28" w:rsidRDefault="00FC7434" w:rsidP="00702327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Projekti i nivelit të lartë për zgjidhjen e përbashkët</w:t>
      </w:r>
    </w:p>
    <w:p w14:paraId="1D0D3D30" w14:textId="77777777" w:rsidR="00FC7434" w:rsidRPr="008D0C28" w:rsidRDefault="00FC7434" w:rsidP="00702327">
      <w:pPr>
        <w:pStyle w:val="AAATEETE"/>
        <w:rPr>
          <w:lang w:val="sq-AL"/>
        </w:rPr>
      </w:pPr>
    </w:p>
    <w:p w14:paraId="1FF109B8" w14:textId="2C54AD81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1.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Shlyerja e përbashkët e kryer nga TSO-të e SA CE në pajtim me këtë CCFR do të përbëhet nga funksioni i Llogaritjes së energjisë në kufi, funksioni i shlyerjes së</w:t>
      </w:r>
      <w:r w:rsidR="00EB624B">
        <w:rPr>
          <w:rFonts w:cs="Cambria"/>
          <w:lang w:val="sq-AL"/>
        </w:rPr>
        <w:t xml:space="preserve"> CCFR </w:t>
      </w:r>
      <w:r w:rsidR="00FC7434" w:rsidRPr="008D0C28">
        <w:rPr>
          <w:rFonts w:cs="Cambria"/>
          <w:lang w:val="sq-AL"/>
        </w:rPr>
        <w:t>dhe detyra e faturimit.</w:t>
      </w:r>
    </w:p>
    <w:p w14:paraId="13C6C5DE" w14:textId="4B1AE8DA" w:rsidR="008D0C28" w:rsidRDefault="008D0C28" w:rsidP="008D0C28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2.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 xml:space="preserve">Njësia ose subjektet e ngarkuara me funksionin të </w:t>
      </w:r>
      <w:r w:rsidR="002B0599">
        <w:rPr>
          <w:rFonts w:cs="Cambria"/>
          <w:lang w:val="sq-AL"/>
        </w:rPr>
        <w:t>l</w:t>
      </w:r>
      <w:r w:rsidR="00FC7434" w:rsidRPr="008D0C28">
        <w:rPr>
          <w:rFonts w:cs="Cambria"/>
          <w:lang w:val="sq-AL"/>
        </w:rPr>
        <w:t>logaritjes së energjisë në kufi të</w:t>
      </w:r>
      <w:r w:rsidR="00EB624B">
        <w:rPr>
          <w:rFonts w:cs="Cambria"/>
          <w:lang w:val="sq-AL"/>
        </w:rPr>
        <w:t xml:space="preserve"> CCFR </w:t>
      </w:r>
      <w:r w:rsidR="00FC7434" w:rsidRPr="008D0C28">
        <w:rPr>
          <w:rFonts w:cs="Cambria"/>
          <w:lang w:val="sq-AL"/>
        </w:rPr>
        <w:t>do të mbledhin të gjitha të dhënat e kërkuara për të llogaritur vlerat e procesit të kontrollit të frekuencës së energjisë dhe p</w:t>
      </w:r>
      <w:r w:rsidR="002B0599">
        <w:rPr>
          <w:rFonts w:cs="Cambria"/>
          <w:lang w:val="sq-AL"/>
        </w:rPr>
        <w:t>eriudhën e ndryshimit (rritje/</w:t>
      </w:r>
      <w:r w:rsidR="00FC7434" w:rsidRPr="008D0C28">
        <w:rPr>
          <w:rFonts w:cs="Cambria"/>
          <w:lang w:val="sq-AL"/>
        </w:rPr>
        <w:t>ulje) për secilën periudhë</w:t>
      </w:r>
      <w:r w:rsidR="00937947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 xml:space="preserve">shlyerje </w:t>
      </w:r>
      <w:r>
        <w:rPr>
          <w:rFonts w:cs="Cambria"/>
          <w:lang w:val="sq-AL"/>
        </w:rPr>
        <w:t>TSO–TSO</w:t>
      </w:r>
      <w:r w:rsidR="00FC7434" w:rsidRPr="008D0C28">
        <w:rPr>
          <w:rFonts w:cs="Cambria"/>
          <w:lang w:val="sq-AL"/>
        </w:rPr>
        <w:t>.</w:t>
      </w:r>
    </w:p>
    <w:p w14:paraId="358D11B9" w14:textId="3FB088D2" w:rsidR="00FC7434" w:rsidRPr="008D0C28" w:rsidRDefault="008D0C28" w:rsidP="008D0C28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3.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 xml:space="preserve">Inputet në funksionin e </w:t>
      </w:r>
      <w:r w:rsidR="002B0599">
        <w:rPr>
          <w:rFonts w:cs="Cambria"/>
          <w:lang w:val="sq-AL"/>
        </w:rPr>
        <w:t>l</w:t>
      </w:r>
      <w:r w:rsidR="00FC7434" w:rsidRPr="008D0C28">
        <w:rPr>
          <w:rFonts w:cs="Cambria"/>
          <w:lang w:val="sq-AL"/>
        </w:rPr>
        <w:t>logaritjes së energjisë në kufi të CCFR do të jenë:</w:t>
      </w:r>
    </w:p>
    <w:p w14:paraId="7FEDC5E3" w14:textId="7FFF6B1A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a)</w:t>
      </w:r>
      <w:r w:rsidR="00702327" w:rsidRPr="008D0C28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Vlera e njoftuar e faktorit-k për zonën LFC të SA CE;</w:t>
      </w:r>
    </w:p>
    <w:p w14:paraId="5FCD93F1" w14:textId="4E4F4C95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b)</w:t>
      </w:r>
      <w:r w:rsidR="00702327" w:rsidRPr="008D0C28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 xml:space="preserve">Devijimi mesatar i frekuencës për çdo periudhë shlyerje </w:t>
      </w:r>
      <w:r w:rsidR="008D0C28"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 të SA CE, i cili do të përcaktohet nga TSO</w:t>
      </w:r>
      <w:r w:rsidR="002B0599">
        <w:rPr>
          <w:rFonts w:cs="Cambria"/>
          <w:lang w:val="sq-AL"/>
        </w:rPr>
        <w:t>-të</w:t>
      </w:r>
      <w:r w:rsidRPr="008D0C28">
        <w:rPr>
          <w:rFonts w:cs="Cambria"/>
          <w:lang w:val="sq-AL"/>
        </w:rPr>
        <w:t xml:space="preserve"> e caktuar;</w:t>
      </w:r>
    </w:p>
    <w:p w14:paraId="6CB175C4" w14:textId="269401A9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c)</w:t>
      </w:r>
      <w:r w:rsidR="00702327" w:rsidRPr="008D0C28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të gjitha skedulet e jashtëm të netuar</w:t>
      </w:r>
      <w:r w:rsidR="00937947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dhe agreguar (ANES) brenda SA CE.</w:t>
      </w:r>
    </w:p>
    <w:p w14:paraId="6EFFCBA6" w14:textId="78E30C23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4.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 xml:space="preserve">Rezultati i funksionit të </w:t>
      </w:r>
      <w:r w:rsidR="00EB624B">
        <w:rPr>
          <w:rFonts w:cs="Cambria"/>
          <w:lang w:val="sq-AL"/>
        </w:rPr>
        <w:t>l</w:t>
      </w:r>
      <w:r w:rsidR="00FC7434" w:rsidRPr="008D0C28">
        <w:rPr>
          <w:rFonts w:cs="Cambria"/>
          <w:lang w:val="sq-AL"/>
        </w:rPr>
        <w:t>logaritjes së energjisë në kufi të</w:t>
      </w:r>
      <w:r w:rsidR="00EB624B">
        <w:rPr>
          <w:rFonts w:cs="Cambria"/>
          <w:lang w:val="sq-AL"/>
        </w:rPr>
        <w:t xml:space="preserve"> CCFR </w:t>
      </w:r>
      <w:r w:rsidR="00FC7434" w:rsidRPr="008D0C28">
        <w:rPr>
          <w:rFonts w:cs="Cambria"/>
          <w:lang w:val="sq-AL"/>
        </w:rPr>
        <w:t>do të jetë:</w:t>
      </w:r>
    </w:p>
    <w:p w14:paraId="66348B6D" w14:textId="7F2E30B4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a)</w:t>
      </w:r>
      <w:r w:rsidR="00702327" w:rsidRPr="008D0C28">
        <w:rPr>
          <w:rFonts w:cs="Cambria"/>
          <w:lang w:val="sq-AL"/>
        </w:rPr>
        <w:t xml:space="preserve"> </w:t>
      </w:r>
      <w:r w:rsidR="00937947">
        <w:rPr>
          <w:rFonts w:cs="Cambria"/>
          <w:lang w:val="sq-AL"/>
        </w:rPr>
        <w:t>s</w:t>
      </w:r>
      <w:r w:rsidRPr="008D0C28">
        <w:rPr>
          <w:rFonts w:cs="Cambria"/>
          <w:lang w:val="sq-AL"/>
        </w:rPr>
        <w:t>hkëmbimet e qëllimshme të energjisë si rezultat i pe</w:t>
      </w:r>
      <w:r w:rsidR="00937947">
        <w:rPr>
          <w:rFonts w:cs="Cambria"/>
          <w:lang w:val="sq-AL"/>
        </w:rPr>
        <w:t>riudhës së ndryshimit (rritje/</w:t>
      </w:r>
      <w:r w:rsidRPr="008D0C28">
        <w:rPr>
          <w:rFonts w:cs="Cambria"/>
          <w:lang w:val="sq-AL"/>
        </w:rPr>
        <w:t xml:space="preserve">ulje) për çdo periudhë shlyerje </w:t>
      </w:r>
      <w:r w:rsidR="008D0C28"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 brenda SA CE;</w:t>
      </w:r>
    </w:p>
    <w:p w14:paraId="08D5B2A3" w14:textId="6213A453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b)</w:t>
      </w:r>
      <w:r w:rsidR="00702327" w:rsidRPr="008D0C28">
        <w:rPr>
          <w:rFonts w:cs="Cambria"/>
          <w:lang w:val="sq-AL"/>
        </w:rPr>
        <w:t xml:space="preserve"> </w:t>
      </w:r>
      <w:r w:rsidR="00937947">
        <w:rPr>
          <w:rFonts w:cs="Cambria"/>
          <w:lang w:val="sq-AL"/>
        </w:rPr>
        <w:t>s</w:t>
      </w:r>
      <w:r w:rsidRPr="008D0C28">
        <w:rPr>
          <w:rFonts w:cs="Cambria"/>
          <w:lang w:val="sq-AL"/>
        </w:rPr>
        <w:t>hkëmbimet e qëllimshme të energjisë si rezultat i procesit të kontrollit të frekuencës</w:t>
      </w:r>
      <w:r w:rsidR="00937947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 xml:space="preserve">për çdo periudhë shlyerje </w:t>
      </w:r>
      <w:r w:rsidR="008D0C28"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 brenda SA CE.</w:t>
      </w:r>
    </w:p>
    <w:p w14:paraId="0932C91F" w14:textId="0A3F3FE4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5.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Njësia ose njësitë të cilave u është besuar funksioni i shlyerjes CCFR do të mbledhë të gjitha të dhënat e kërkuara për të llogaritur një çmim të shkëmbimit të procesit të kontrollit të frekuencës së energjisë dhe pe</w:t>
      </w:r>
      <w:r w:rsidR="00EB624B">
        <w:rPr>
          <w:rFonts w:cs="Cambria"/>
          <w:lang w:val="sq-AL"/>
        </w:rPr>
        <w:t>riudhës së ndryshimit (rritje/</w:t>
      </w:r>
      <w:r w:rsidR="00FC7434" w:rsidRPr="008D0C28">
        <w:rPr>
          <w:rFonts w:cs="Cambria"/>
          <w:lang w:val="sq-AL"/>
        </w:rPr>
        <w:t xml:space="preserve">ulje) për çdo periudhë shlyerje </w:t>
      </w:r>
      <w:r>
        <w:rPr>
          <w:rFonts w:cs="Cambria"/>
          <w:lang w:val="sq-AL"/>
        </w:rPr>
        <w:t>TSO–TSO</w:t>
      </w:r>
      <w:r w:rsidR="00FC7434" w:rsidRPr="008D0C28">
        <w:rPr>
          <w:rFonts w:cs="Cambria"/>
          <w:lang w:val="sq-AL"/>
        </w:rPr>
        <w:t xml:space="preserve"> dhe do të llogarisë rezultatin financiar </w:t>
      </w:r>
      <w:r w:rsidR="00937947">
        <w:rPr>
          <w:rFonts w:cs="Cambria"/>
          <w:lang w:val="sq-AL"/>
        </w:rPr>
        <w:t>dhe fluksin financiar për</w:t>
      </w:r>
      <w:r w:rsidR="00FC7434" w:rsidRPr="008D0C28">
        <w:rPr>
          <w:rFonts w:cs="Cambria"/>
          <w:lang w:val="sq-AL"/>
        </w:rPr>
        <w:t xml:space="preserve"> çdo </w:t>
      </w:r>
      <w:r w:rsidR="00FF6796">
        <w:rPr>
          <w:rFonts w:cs="Cambria"/>
          <w:lang w:val="sq-AL"/>
        </w:rPr>
        <w:t xml:space="preserve">bllok LFC-je </w:t>
      </w:r>
      <w:r w:rsidR="00FC7434" w:rsidRPr="008D0C28">
        <w:rPr>
          <w:rFonts w:cs="Cambria"/>
          <w:lang w:val="sq-AL"/>
        </w:rPr>
        <w:t xml:space="preserve">ose </w:t>
      </w:r>
      <w:r w:rsidR="00FF6796">
        <w:rPr>
          <w:rFonts w:cs="Cambria"/>
          <w:lang w:val="sq-AL"/>
        </w:rPr>
        <w:t>zonë LFC-je</w:t>
      </w:r>
      <w:r w:rsidR="00FC7434" w:rsidRPr="008D0C28">
        <w:rPr>
          <w:rFonts w:cs="Cambria"/>
          <w:lang w:val="sq-AL"/>
        </w:rPr>
        <w:t>.</w:t>
      </w:r>
    </w:p>
    <w:p w14:paraId="7C5A5CAF" w14:textId="73782ACA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6.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Inputi i funksionit të shlyerjes CCFR do të jetë:</w:t>
      </w:r>
    </w:p>
    <w:p w14:paraId="31A2AF25" w14:textId="1F1F1A1B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lastRenderedPageBreak/>
        <w:t>a)</w:t>
      </w:r>
      <w:r w:rsidR="00702327" w:rsidRPr="008D0C28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vëllimet e shkëmbimit të energjisë të qëllimshme si rezultat i procesit të kontrollit së frekuencës dhe pe</w:t>
      </w:r>
      <w:r w:rsidR="00937947">
        <w:rPr>
          <w:rFonts w:cs="Cambria"/>
          <w:lang w:val="sq-AL"/>
        </w:rPr>
        <w:t>riudhës së ndryshimit (rritje/</w:t>
      </w:r>
      <w:r w:rsidRPr="008D0C28">
        <w:rPr>
          <w:rFonts w:cs="Cambria"/>
          <w:lang w:val="sq-AL"/>
        </w:rPr>
        <w:t xml:space="preserve">ulje) në përputhje me </w:t>
      </w:r>
      <w:r w:rsidR="008D0C28" w:rsidRPr="008D0C28">
        <w:rPr>
          <w:rFonts w:cs="Cambria"/>
          <w:lang w:val="sq-AL"/>
        </w:rPr>
        <w:t>n</w:t>
      </w:r>
      <w:r w:rsidRPr="008D0C28">
        <w:rPr>
          <w:rFonts w:cs="Cambria"/>
          <w:lang w:val="sq-AL"/>
        </w:rPr>
        <w:t>enin 7 të CCU;</w:t>
      </w:r>
    </w:p>
    <w:p w14:paraId="4925E4CD" w14:textId="2E1EC44C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b)</w:t>
      </w:r>
      <w:r w:rsidR="00702327" w:rsidRPr="008D0C28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 xml:space="preserve">çmimin e tregut për ditën e ardhshme të çdo </w:t>
      </w:r>
      <w:r w:rsidR="00EB624B">
        <w:rPr>
          <w:rFonts w:cs="Cambria"/>
          <w:lang w:val="sq-AL"/>
        </w:rPr>
        <w:t>b</w:t>
      </w:r>
      <w:r w:rsidRPr="008D0C28">
        <w:rPr>
          <w:rFonts w:cs="Cambria"/>
          <w:lang w:val="sq-AL"/>
        </w:rPr>
        <w:t xml:space="preserve">lloku LFC në SA CE në përputhje me </w:t>
      </w:r>
      <w:r w:rsidR="008D0C28" w:rsidRPr="008D0C28">
        <w:rPr>
          <w:rFonts w:cs="Cambria"/>
          <w:lang w:val="sq-AL"/>
        </w:rPr>
        <w:t>neni</w:t>
      </w:r>
      <w:r w:rsidRPr="008D0C28">
        <w:rPr>
          <w:rFonts w:cs="Cambria"/>
          <w:lang w:val="sq-AL"/>
        </w:rPr>
        <w:t>n 8</w:t>
      </w:r>
      <w:r w:rsidR="00EB624B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(2)</w:t>
      </w:r>
      <w:r w:rsidR="00EB624B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(a) të kësaj CCFR;</w:t>
      </w:r>
    </w:p>
    <w:p w14:paraId="4DC75574" w14:textId="2EB0F835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c)</w:t>
      </w:r>
      <w:r w:rsidR="00702327" w:rsidRPr="008D0C28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 xml:space="preserve">devijimin mesatar të frekuencës për secilën periudhë të shlyerjes </w:t>
      </w:r>
      <w:r w:rsidR="008D0C28"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 të SA CE e cila përcaktohet nga një TSO e caktuar;</w:t>
      </w:r>
    </w:p>
    <w:p w14:paraId="732619D4" w14:textId="645C76D9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d)</w:t>
      </w:r>
      <w:r w:rsidR="00702327" w:rsidRPr="008D0C28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 xml:space="preserve">volumet e shkëmbimeve të paqëllimshme në përputhje </w:t>
      </w:r>
      <w:r w:rsidR="008D0C28" w:rsidRPr="008D0C28">
        <w:rPr>
          <w:rFonts w:cs="Cambria"/>
          <w:lang w:val="sq-AL"/>
        </w:rPr>
        <w:t xml:space="preserve">me nenin </w:t>
      </w:r>
      <w:r w:rsidRPr="008D0C28">
        <w:rPr>
          <w:rFonts w:cs="Cambria"/>
          <w:lang w:val="sq-AL"/>
        </w:rPr>
        <w:t>7 të kësaj CCFR.</w:t>
      </w:r>
    </w:p>
    <w:p w14:paraId="17B9E04A" w14:textId="532F355E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 xml:space="preserve">7. </w:t>
      </w:r>
      <w:r w:rsidR="00FC7434" w:rsidRPr="008D0C28">
        <w:rPr>
          <w:rFonts w:cs="Cambria"/>
          <w:lang w:val="sq-AL"/>
        </w:rPr>
        <w:t>Funksioni i shlyerjes CCFR do të llogarisë rezultatet vijuese:</w:t>
      </w:r>
    </w:p>
    <w:p w14:paraId="50DE3D8A" w14:textId="10A71E59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a)</w:t>
      </w:r>
      <w:r w:rsidR="00702327" w:rsidRPr="008D0C28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 xml:space="preserve">Çmimin për shkëmbimet e qëllimshme të energjisë si rezultat i procesit të kontrollit të frekuencës për çdo periudhë shlyerje </w:t>
      </w:r>
      <w:r w:rsidR="008D0C28"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>;</w:t>
      </w:r>
    </w:p>
    <w:p w14:paraId="263A9FFA" w14:textId="2F75A735" w:rsidR="008D0C28" w:rsidRDefault="00FC7434" w:rsidP="008D0C28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b)</w:t>
      </w:r>
      <w:r w:rsidR="00702327" w:rsidRPr="008D0C28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flukset financiare ndërmjet të gjitha blloqeve LFC ose zonave të LFC</w:t>
      </w:r>
      <w:r w:rsidR="00FF6796">
        <w:rPr>
          <w:rFonts w:cs="Cambria"/>
          <w:lang w:val="sq-AL"/>
        </w:rPr>
        <w:t>-së</w:t>
      </w:r>
      <w:r w:rsidRPr="008D0C28">
        <w:rPr>
          <w:rFonts w:cs="Cambria"/>
          <w:lang w:val="sq-AL"/>
        </w:rPr>
        <w:t xml:space="preserve"> në SA CE si rezultat i shkëmbimit të qëllimshme të energjisë së procesit të kontrollit të frekuencës për çdo periudhë shlyerje </w:t>
      </w:r>
      <w:r w:rsidR="008D0C28"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>.</w:t>
      </w:r>
    </w:p>
    <w:p w14:paraId="06979F1F" w14:textId="2DAC34F9" w:rsidR="00FC7434" w:rsidRPr="008D0C28" w:rsidRDefault="008D0C28" w:rsidP="008D0C28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8.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Të gjitha vëllimet e energjisë së pe</w:t>
      </w:r>
      <w:r w:rsidR="00EB624B">
        <w:rPr>
          <w:rFonts w:cs="Cambria"/>
          <w:lang w:val="sq-AL"/>
        </w:rPr>
        <w:t>riudhës së ndryshimit (rritje/</w:t>
      </w:r>
      <w:r w:rsidR="00FC7434" w:rsidRPr="008D0C28">
        <w:rPr>
          <w:rFonts w:cs="Cambria"/>
          <w:lang w:val="sq-AL"/>
        </w:rPr>
        <w:t xml:space="preserve">ulje) të llogaritura për çdo </w:t>
      </w:r>
      <w:r w:rsidR="00FF6796">
        <w:rPr>
          <w:rFonts w:cs="Cambria"/>
          <w:lang w:val="sq-AL"/>
        </w:rPr>
        <w:t xml:space="preserve">bllok LFC-je </w:t>
      </w:r>
      <w:r w:rsidR="00FC7434" w:rsidRPr="008D0C28">
        <w:rPr>
          <w:rFonts w:cs="Cambria"/>
          <w:lang w:val="sq-AL"/>
        </w:rPr>
        <w:t xml:space="preserve">ose </w:t>
      </w:r>
      <w:r w:rsidR="00FF6796">
        <w:rPr>
          <w:rFonts w:cs="Cambria"/>
          <w:lang w:val="sq-AL"/>
        </w:rPr>
        <w:t xml:space="preserve">zonë LFC-je </w:t>
      </w:r>
      <w:r w:rsidR="00FC7434" w:rsidRPr="008D0C28">
        <w:rPr>
          <w:rFonts w:cs="Cambria"/>
          <w:lang w:val="sq-AL"/>
        </w:rPr>
        <w:t xml:space="preserve">për çdo periudhë shlyerje </w:t>
      </w:r>
      <w:r>
        <w:rPr>
          <w:rFonts w:cs="Cambria"/>
          <w:lang w:val="sq-AL"/>
        </w:rPr>
        <w:t>TSO–TSO</w:t>
      </w:r>
      <w:r w:rsidR="00FC7434" w:rsidRPr="008D0C28">
        <w:rPr>
          <w:rFonts w:cs="Cambria"/>
          <w:lang w:val="sq-AL"/>
        </w:rPr>
        <w:t xml:space="preserve">, në përputhje me </w:t>
      </w:r>
      <w:r w:rsidRPr="008D0C28">
        <w:rPr>
          <w:rFonts w:cs="Cambria"/>
          <w:lang w:val="sq-AL"/>
        </w:rPr>
        <w:t>ne</w:t>
      </w:r>
      <w:r w:rsidR="00FC7434" w:rsidRPr="008D0C28">
        <w:rPr>
          <w:rFonts w:cs="Cambria"/>
          <w:lang w:val="sq-AL"/>
        </w:rPr>
        <w:t xml:space="preserve">nin 7 të kësaj CCFR, do të shlyhen me të njëjtin çmim të llogaritur për atë periudhë shlyerje </w:t>
      </w:r>
      <w:r>
        <w:rPr>
          <w:rFonts w:cs="Cambria"/>
          <w:lang w:val="sq-AL"/>
        </w:rPr>
        <w:t>TSO–TSO</w:t>
      </w:r>
      <w:r w:rsidR="00FC7434" w:rsidRPr="008D0C28">
        <w:rPr>
          <w:rFonts w:cs="Cambria"/>
          <w:lang w:val="sq-AL"/>
        </w:rPr>
        <w:t xml:space="preserve">, në përputhje me </w:t>
      </w:r>
      <w:r w:rsidRPr="008D0C28">
        <w:rPr>
          <w:rFonts w:cs="Cambria"/>
          <w:lang w:val="sq-AL"/>
        </w:rPr>
        <w:t>nen</w:t>
      </w:r>
      <w:r w:rsidR="00FC7434" w:rsidRPr="008D0C28">
        <w:rPr>
          <w:rFonts w:cs="Cambria"/>
          <w:lang w:val="sq-AL"/>
        </w:rPr>
        <w:t>in 8</w:t>
      </w:r>
      <w:r w:rsidR="00EB624B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(1) të kësaj CCFR.</w:t>
      </w:r>
    </w:p>
    <w:p w14:paraId="01C02362" w14:textId="3D65CD30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9.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Të gjitha vëllimet e energjisë të procesit të kontrollit të frekuencës të llogaritura</w:t>
      </w:r>
      <w:r w:rsidR="00FF6796">
        <w:rPr>
          <w:rFonts w:cs="Cambria"/>
          <w:lang w:val="sq-AL"/>
        </w:rPr>
        <w:t xml:space="preserve"> për çdo bllok LFC-je ose zonë LFC-je </w:t>
      </w:r>
      <w:r w:rsidR="00FC7434" w:rsidRPr="008D0C28">
        <w:rPr>
          <w:rFonts w:cs="Cambria"/>
          <w:lang w:val="sq-AL"/>
        </w:rPr>
        <w:t xml:space="preserve">për çdo periudhë shlyerje </w:t>
      </w:r>
      <w:r>
        <w:rPr>
          <w:rFonts w:cs="Cambria"/>
          <w:lang w:val="sq-AL"/>
        </w:rPr>
        <w:t>TSO–TSO</w:t>
      </w:r>
      <w:r w:rsidR="00FC7434" w:rsidRPr="008D0C28">
        <w:rPr>
          <w:rFonts w:cs="Cambria"/>
          <w:lang w:val="sq-AL"/>
        </w:rPr>
        <w:t xml:space="preserve">, në përputhje me </w:t>
      </w:r>
      <w:r w:rsidRPr="008D0C28">
        <w:rPr>
          <w:rFonts w:cs="Cambria"/>
          <w:lang w:val="sq-AL"/>
        </w:rPr>
        <w:t>nen</w:t>
      </w:r>
      <w:r w:rsidR="00FC7434" w:rsidRPr="008D0C28">
        <w:rPr>
          <w:rFonts w:cs="Cambria"/>
          <w:lang w:val="sq-AL"/>
        </w:rPr>
        <w:t>in 7 të kësaj CCFR</w:t>
      </w:r>
      <w:r w:rsidR="00FF6796">
        <w:rPr>
          <w:rFonts w:cs="Cambria"/>
          <w:lang w:val="sq-AL"/>
        </w:rPr>
        <w:t>-je</w:t>
      </w:r>
      <w:r w:rsidR="00FC7434" w:rsidRPr="008D0C28">
        <w:rPr>
          <w:rFonts w:cs="Cambria"/>
          <w:lang w:val="sq-AL"/>
        </w:rPr>
        <w:t xml:space="preserve">, do të shlyhen me të njëjtin çmim të llogaritur për atë periudhë shlyerje </w:t>
      </w:r>
      <w:r>
        <w:rPr>
          <w:rFonts w:cs="Cambria"/>
          <w:lang w:val="sq-AL"/>
        </w:rPr>
        <w:t>TSO–TSO</w:t>
      </w:r>
      <w:r w:rsidR="00EB624B">
        <w:rPr>
          <w:rFonts w:cs="Cambria"/>
          <w:lang w:val="sq-AL"/>
        </w:rPr>
        <w:t xml:space="preserve">, </w:t>
      </w:r>
      <w:r w:rsidR="00FC7434" w:rsidRPr="008D0C28">
        <w:rPr>
          <w:rFonts w:cs="Cambria"/>
          <w:lang w:val="sq-AL"/>
        </w:rPr>
        <w:t xml:space="preserve">në përputhje me </w:t>
      </w:r>
      <w:r w:rsidRPr="008D0C28">
        <w:rPr>
          <w:rFonts w:cs="Cambria"/>
          <w:lang w:val="sq-AL"/>
        </w:rPr>
        <w:t>nenin</w:t>
      </w:r>
      <w:r w:rsidR="00FC7434" w:rsidRPr="008D0C28">
        <w:rPr>
          <w:rFonts w:cs="Cambria"/>
          <w:lang w:val="sq-AL"/>
        </w:rPr>
        <w:t xml:space="preserve"> 8</w:t>
      </w:r>
      <w:r w:rsidR="00402BBA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(2) të kësaj CCFR.</w:t>
      </w:r>
    </w:p>
    <w:p w14:paraId="431A2624" w14:textId="5C018F92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10.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Shlyerja do të realizohet në nivelin e zonave LFC përveç nëse:</w:t>
      </w:r>
    </w:p>
    <w:p w14:paraId="5D360E1E" w14:textId="0BFC3102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a)</w:t>
      </w:r>
      <w:r w:rsidR="00702327" w:rsidRPr="008D0C28">
        <w:rPr>
          <w:rFonts w:cs="Cambria"/>
          <w:lang w:val="sq-AL"/>
        </w:rPr>
        <w:t xml:space="preserve"> </w:t>
      </w:r>
      <w:r w:rsidR="00937947" w:rsidRPr="008D0C28">
        <w:rPr>
          <w:rFonts w:cs="Cambria"/>
          <w:lang w:val="sq-AL"/>
        </w:rPr>
        <w:t>t</w:t>
      </w:r>
      <w:r w:rsidR="00937947">
        <w:rPr>
          <w:rFonts w:cs="Cambria"/>
          <w:lang w:val="sq-AL"/>
        </w:rPr>
        <w:t>ë gjitha TSO</w:t>
      </w:r>
      <w:r w:rsidRPr="008D0C28">
        <w:rPr>
          <w:rFonts w:cs="Cambria"/>
          <w:lang w:val="sq-AL"/>
        </w:rPr>
        <w:t>-të e një blloku të vetë</w:t>
      </w:r>
      <w:r w:rsidR="00FF6796">
        <w:rPr>
          <w:rFonts w:cs="Cambria"/>
          <w:lang w:val="sq-AL"/>
        </w:rPr>
        <w:t>m</w:t>
      </w:r>
      <w:r w:rsidRPr="008D0C28">
        <w:rPr>
          <w:rFonts w:cs="Cambria"/>
          <w:lang w:val="sq-AL"/>
        </w:rPr>
        <w:t xml:space="preserve"> LFC</w:t>
      </w:r>
      <w:r w:rsidR="00FF6796">
        <w:rPr>
          <w:rFonts w:cs="Cambria"/>
          <w:lang w:val="sq-AL"/>
        </w:rPr>
        <w:t>-je</w:t>
      </w:r>
      <w:r w:rsidRPr="008D0C28">
        <w:rPr>
          <w:rFonts w:cs="Cambria"/>
          <w:lang w:val="sq-AL"/>
        </w:rPr>
        <w:t xml:space="preserve"> bien dakord për shlyerje në nivel të bllokut LFC; ose</w:t>
      </w:r>
    </w:p>
    <w:p w14:paraId="7DC879F9" w14:textId="173E681C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b)</w:t>
      </w:r>
      <w:r w:rsidR="00702327" w:rsidRPr="008D0C28">
        <w:rPr>
          <w:rFonts w:cs="Cambria"/>
          <w:lang w:val="sq-AL"/>
        </w:rPr>
        <w:t xml:space="preserve"> </w:t>
      </w:r>
      <w:r w:rsidR="00937947" w:rsidRPr="008D0C28">
        <w:rPr>
          <w:rFonts w:cs="Cambria"/>
          <w:lang w:val="sq-AL"/>
        </w:rPr>
        <w:t>d</w:t>
      </w:r>
      <w:r w:rsidRPr="008D0C28">
        <w:rPr>
          <w:rFonts w:cs="Cambria"/>
          <w:lang w:val="sq-AL"/>
        </w:rPr>
        <w:t>isa TSO</w:t>
      </w:r>
      <w:r w:rsidR="00937947">
        <w:rPr>
          <w:rFonts w:cs="Cambria"/>
          <w:lang w:val="sq-AL"/>
        </w:rPr>
        <w:t xml:space="preserve"> </w:t>
      </w:r>
      <w:r w:rsidRPr="008D0C28">
        <w:rPr>
          <w:rFonts w:cs="Cambria"/>
          <w:lang w:val="sq-AL"/>
        </w:rPr>
        <w:t>të një blloku të vetëm LFC</w:t>
      </w:r>
      <w:r w:rsidR="00937947">
        <w:rPr>
          <w:rFonts w:cs="Cambria"/>
          <w:lang w:val="sq-AL"/>
        </w:rPr>
        <w:t>-je</w:t>
      </w:r>
      <w:r w:rsidRPr="008D0C28">
        <w:rPr>
          <w:rFonts w:cs="Cambria"/>
          <w:lang w:val="sq-AL"/>
        </w:rPr>
        <w:t xml:space="preserve"> bien dakord për shlyerjen e përbashkët të zonës së tyre LFC.</w:t>
      </w:r>
    </w:p>
    <w:p w14:paraId="0EFC46F0" w14:textId="258832B4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11.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Njësia ose njësitë</w:t>
      </w:r>
      <w:r w:rsidR="00937947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të cilave u është besuar detyra e faturimit duhet t</w:t>
      </w:r>
      <w:r w:rsidR="00402BBA">
        <w:rPr>
          <w:rFonts w:cs="Cambria"/>
          <w:lang w:val="sq-AL"/>
        </w:rPr>
        <w:t>’</w:t>
      </w:r>
      <w:r w:rsidR="00FC7434" w:rsidRPr="008D0C28">
        <w:rPr>
          <w:rFonts w:cs="Cambria"/>
          <w:lang w:val="sq-AL"/>
        </w:rPr>
        <w:t>i faturojnë TSO-ve SA CE sipas rezultateve të funksionit të zgjidhjes CCFR.</w:t>
      </w:r>
    </w:p>
    <w:p w14:paraId="7F3A13DD" w14:textId="6263D3C7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12.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Të gjitha TSO</w:t>
      </w:r>
      <w:r w:rsidR="00B520A6">
        <w:rPr>
          <w:rFonts w:cs="Cambria"/>
          <w:lang w:val="sq-AL"/>
        </w:rPr>
        <w:t>-të</w:t>
      </w:r>
      <w:r w:rsidR="00FC7434" w:rsidRPr="008D0C28">
        <w:rPr>
          <w:rFonts w:cs="Cambria"/>
          <w:lang w:val="sq-AL"/>
        </w:rPr>
        <w:t xml:space="preserve"> e SA CE pranojnë flukset financiare dhe janë të detyruar të paguajnë sipas tyre. Flukset financiare duhet të rishikohen në rast se gjendet një gabim në llogaritjet ose në të dhënat e vendosura në llogaritje.</w:t>
      </w:r>
    </w:p>
    <w:p w14:paraId="72190BB4" w14:textId="77777777" w:rsidR="00FC7434" w:rsidRPr="008D0C28" w:rsidRDefault="00FC7434" w:rsidP="00702327">
      <w:pPr>
        <w:pStyle w:val="AAATEETE"/>
        <w:jc w:val="center"/>
        <w:rPr>
          <w:lang w:val="sq-AL"/>
        </w:rPr>
      </w:pPr>
    </w:p>
    <w:p w14:paraId="45E2F37F" w14:textId="77777777" w:rsidR="00FC7434" w:rsidRPr="008D0C28" w:rsidRDefault="00FC7434" w:rsidP="00702327">
      <w:pPr>
        <w:pStyle w:val="AAATEETE"/>
        <w:jc w:val="center"/>
        <w:rPr>
          <w:rFonts w:cs="Cambria"/>
          <w:lang w:val="sq-AL"/>
        </w:rPr>
      </w:pPr>
      <w:r w:rsidRPr="008D0C28">
        <w:rPr>
          <w:rFonts w:cs="Cambria"/>
          <w:lang w:val="sq-AL"/>
        </w:rPr>
        <w:t>Neni 4</w:t>
      </w:r>
    </w:p>
    <w:p w14:paraId="2EA439C3" w14:textId="77777777" w:rsidR="00FC7434" w:rsidRPr="008D0C28" w:rsidRDefault="00FC7434" w:rsidP="00702327">
      <w:pPr>
        <w:pStyle w:val="AAATEETE"/>
        <w:jc w:val="center"/>
        <w:rPr>
          <w:rFonts w:cs="Cambria"/>
          <w:b/>
          <w:lang w:val="sq-AL"/>
        </w:rPr>
      </w:pPr>
      <w:r w:rsidRPr="008D0C28">
        <w:rPr>
          <w:rFonts w:cs="Cambria"/>
          <w:b/>
          <w:lang w:val="sq-AL"/>
        </w:rPr>
        <w:t>Zbatimi i zgjidhjes së përbashkët</w:t>
      </w:r>
    </w:p>
    <w:p w14:paraId="6D48B385" w14:textId="77777777" w:rsidR="00FC7434" w:rsidRPr="008D0C28" w:rsidRDefault="00FC7434" w:rsidP="00702327">
      <w:pPr>
        <w:pStyle w:val="AAATEETE"/>
        <w:rPr>
          <w:lang w:val="sq-AL"/>
        </w:rPr>
      </w:pPr>
    </w:p>
    <w:p w14:paraId="191BF2AD" w14:textId="23CEBF00" w:rsidR="00FC7434" w:rsidRPr="008D0C28" w:rsidRDefault="008D0C28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1.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Të gjitha TSO-të e SA CE zbatojnë rregullat e përbashkëta të shlyerjes brenda 12 muajve pas miratimit të kësaj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 xml:space="preserve"> CCFR,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në përputhje me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neni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n 5 (5) të EBGL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603985FA" w14:textId="0930EF43" w:rsidR="00FC7434" w:rsidRPr="008D0C28" w:rsidRDefault="008D0C28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2.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Hapat e mëposhtëm dhe afatet kohore do të përdoren si udhërrëfyes për zbatimin e rregullave të përbashkëta të shlyerjes:</w:t>
      </w:r>
    </w:p>
    <w:p w14:paraId="19D5AB54" w14:textId="343F6859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a)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a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daptimi i të gjithë matësve: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ë gjithë TSO-të e SA CE kanë ndryshuar pajisjet matëse të tyre dhe janë në gjendje të matin shkëmbimet e energjisë në periudhën e shlyerjes </w:t>
      </w:r>
      <w:r w:rsidR="008D0C28">
        <w:rPr>
          <w:rFonts w:ascii="Garamond" w:hAnsi="Garamond" w:cs="Calibri"/>
          <w:color w:val="000000"/>
          <w:sz w:val="24"/>
          <w:szCs w:val="24"/>
          <w:lang w:val="sq-AL"/>
        </w:rPr>
        <w:t>TSO–TSO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351A7162" w14:textId="416EBD4A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b)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e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mërimi i subjekteve: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funksioni i llogaritjes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së energjisë në kufi të CCFR, funksioni i zgjidhjes së CCU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detyrat e faturimit janë emëruar në një ose disa njësi sipas nenit 3 të CCU</w:t>
      </w:r>
      <w:r w:rsidR="00FF6796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527C9B76" w14:textId="1E267BCA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c)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z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batimi i funksionit të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logaritjes së energjisë në kufi të CCFR: Njësia ose njësitë të cilave u është besuar funksioni i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llo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garitjes së energjisë në kufi të CCFR. Të gjithë TSO-të e SA CE do të zbatojnë ndërfaqet e tyre me funksionin e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lloga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ritjes së energjisë në kufi të CCFR nëse është e nevojshme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1164D610" w14:textId="43DF6538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d)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z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batimi i funksionit të shlyerjes së CCFR: Njësia ose njësitë të cilave u është besuar funksioni i shlyerjes së CCFR duhet të zbatojnë funksionin e shlyerjes CCFR. Të gjithë TSO-të e SA CE do të zbatojnë ndërfaqet e tyre me funksionin e shlyerjes të CCFR nëse është e nevojshme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6474CF45" w14:textId="677FE535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e)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z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batimi i detyrave të faturimit të CCFR: Njësia ose njësitë të cilave u është besuar detyra e faturimit të CCFR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duhet të zbatojnë detyrat e faturimit të CCFR. Do të konfigurohen të gjitha ndërfaqet e nevojshme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0407164" w14:textId="2AC0584E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f)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te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stimi: 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ë gjitha TSO</w:t>
      </w:r>
      <w:r w:rsidR="00B520A6">
        <w:rPr>
          <w:rFonts w:ascii="Garamond" w:hAnsi="Garamond" w:cs="Calibri"/>
          <w:color w:val="000000"/>
          <w:sz w:val="24"/>
          <w:szCs w:val="24"/>
          <w:lang w:val="sq-AL"/>
        </w:rPr>
        <w:t>-të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e SA CE do të testojnë ndërfaqet në Llogaritjen e energjisë në kufi CCFR, funksionin e shlyerjes CCFR dhe, nëse është e zbatueshme, në detyrat e faturimit CCU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34AF5AC" w14:textId="40BB242D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g)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ko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hë reale: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ëse të gjitha testimet në përputhje me </w:t>
      </w:r>
      <w:r w:rsidR="008D0C28" w:rsidRPr="008D0C28">
        <w:rPr>
          <w:rFonts w:ascii="Garamond" w:hAnsi="Garamond" w:cs="Calibri"/>
          <w:color w:val="000000"/>
          <w:sz w:val="24"/>
          <w:szCs w:val="24"/>
          <w:lang w:val="sq-AL"/>
        </w:rPr>
        <w:t>nen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 xml:space="preserve">in 4 (2)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(f) të kësaj CCFR do të jenë të suksesshme, shlyerja e përbashk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ët do të vazhdojë në kohë reale;</w:t>
      </w:r>
    </w:p>
    <w:p w14:paraId="1DBFBA80" w14:textId="3008681A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h)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me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kanizmi i rishikimit: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pa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s implementimit të këtyre rregullave të përbashkëta të shlyerjes, një mekanizëm shqyrtimi fillon nga fundi i vitit 2022, në të cilin TSO</w:t>
      </w:r>
      <w:r w:rsidR="00B520A6">
        <w:rPr>
          <w:rFonts w:ascii="Garamond" w:hAnsi="Garamond" w:cs="Calibri"/>
          <w:color w:val="000000"/>
          <w:sz w:val="24"/>
          <w:szCs w:val="24"/>
          <w:lang w:val="sq-AL"/>
        </w:rPr>
        <w:t>-të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e SA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CE do të shqyrtojnë CCFR. Një rishikim do të bëhet të paktën çdo tre vjet pas shqyrtimit të parë të duhur deri në fund të vitit 2022. Në mekanizmin e rishikimit, do të vlerësohet mundësia për evoluimin e çmimeve të balancimit në vend të çmimeve të tregut të ditës së ardhshme. Përveç kësaj, mekanizmi i rishikimit mund të prekë, për shembull, parametrat e rregullave të çmimeve të përshkruara në nenin 8 të kësaj CCFR, por edhe detaje teknike si grumbullimi i të dhënave. Çdo ndryshim në CCFR duhet të dorëzohet nga autoritetet përkatëse rregullatore për miratim.</w:t>
      </w:r>
    </w:p>
    <w:p w14:paraId="5F629372" w14:textId="63D2E56E" w:rsidR="00FC7434" w:rsidRPr="008D0C28" w:rsidRDefault="008D0C28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3.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Të gjitha funksionet e shlyerjes në pajtim me nenet 19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22 të EBGL</w:t>
      </w:r>
      <w:r w:rsidR="00B40A80">
        <w:rPr>
          <w:rFonts w:ascii="Garamond" w:hAnsi="Garamond" w:cs="Calibri"/>
          <w:color w:val="000000"/>
          <w:sz w:val="24"/>
          <w:szCs w:val="24"/>
          <w:lang w:val="sq-AL"/>
        </w:rPr>
        <w:t>-së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do të marrin parasysh se vëllimet e shkëmbimeve të qëllimshme energjisë mund të duhet të dorëzohen në një zgjidhje tjetër kohore nëse ndryshohet periudha e shlyerjes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TSO–TSO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energjinë e procesit të kontrollit të fr</w:t>
      </w:r>
      <w:r w:rsidR="00402BBA">
        <w:rPr>
          <w:rFonts w:ascii="Garamond" w:hAnsi="Garamond" w:cs="Calibri"/>
          <w:color w:val="000000"/>
          <w:sz w:val="24"/>
          <w:szCs w:val="24"/>
          <w:lang w:val="sq-AL"/>
        </w:rPr>
        <w:t>ekuencës dhe ndryshimit (rritje/</w:t>
      </w:r>
      <w:r w:rsidR="00FC7434" w:rsidRPr="008D0C28">
        <w:rPr>
          <w:rFonts w:ascii="Garamond" w:hAnsi="Garamond" w:cs="Calibri"/>
          <w:color w:val="000000"/>
          <w:sz w:val="24"/>
          <w:szCs w:val="24"/>
          <w:lang w:val="sq-AL"/>
        </w:rPr>
        <w:t>ulje) të energjisë.</w:t>
      </w:r>
    </w:p>
    <w:p w14:paraId="63BF592C" w14:textId="77777777" w:rsidR="00FC7434" w:rsidRPr="008D0C28" w:rsidRDefault="00FC7434" w:rsidP="00702327">
      <w:pPr>
        <w:pStyle w:val="AAATEETE"/>
        <w:jc w:val="center"/>
        <w:rPr>
          <w:lang w:val="sq-AL"/>
        </w:rPr>
      </w:pPr>
    </w:p>
    <w:p w14:paraId="3ECCE83E" w14:textId="77777777" w:rsidR="00FC7434" w:rsidRPr="008D0C28" w:rsidRDefault="00FC7434" w:rsidP="00702327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5</w:t>
      </w:r>
    </w:p>
    <w:p w14:paraId="55F664A5" w14:textId="7832DC49" w:rsidR="00FC7434" w:rsidRPr="008D0C28" w:rsidRDefault="00FC7434" w:rsidP="00702327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Funksionet e shlyerjes së përbashkët</w:t>
      </w:r>
    </w:p>
    <w:p w14:paraId="687FEAC7" w14:textId="77777777" w:rsidR="00FC7434" w:rsidRPr="008D0C28" w:rsidRDefault="00FC7434" w:rsidP="00702327">
      <w:pPr>
        <w:pStyle w:val="AAATEETE"/>
        <w:jc w:val="center"/>
        <w:rPr>
          <w:lang w:val="sq-AL"/>
        </w:rPr>
      </w:pPr>
    </w:p>
    <w:p w14:paraId="0E5EB029" w14:textId="2B0C091C" w:rsidR="00FC7434" w:rsidRPr="008D0C28" w:rsidRDefault="008D0C28" w:rsidP="00702327">
      <w:pPr>
        <w:pStyle w:val="AAATEETE"/>
        <w:rPr>
          <w:lang w:val="sq-AL"/>
        </w:rPr>
      </w:pPr>
      <w:r>
        <w:rPr>
          <w:lang w:val="sq-AL"/>
        </w:rPr>
        <w:t>1.</w:t>
      </w:r>
      <w:r w:rsidR="00702327" w:rsidRPr="008D0C28">
        <w:rPr>
          <w:lang w:val="sq-AL"/>
        </w:rPr>
        <w:t xml:space="preserve"> </w:t>
      </w:r>
      <w:r w:rsidR="00FC7434" w:rsidRPr="008D0C28">
        <w:rPr>
          <w:lang w:val="sq-AL"/>
        </w:rPr>
        <w:t xml:space="preserve">Shlyerja e përbashkët në pajtim me këtë CCFR do të përbëhet nga funksioni i </w:t>
      </w:r>
      <w:r w:rsidR="00937947">
        <w:rPr>
          <w:lang w:val="sq-AL"/>
        </w:rPr>
        <w:t>l</w:t>
      </w:r>
      <w:r w:rsidR="00FC7434" w:rsidRPr="008D0C28">
        <w:rPr>
          <w:lang w:val="sq-AL"/>
        </w:rPr>
        <w:t>logaritjes së energjisë në kufi i CCFR dhe funksioni i shlyerjes së CCFR.</w:t>
      </w:r>
    </w:p>
    <w:p w14:paraId="6198BC88" w14:textId="65598A61" w:rsidR="00FC7434" w:rsidRPr="008D0C28" w:rsidRDefault="008D0C28" w:rsidP="00702327">
      <w:pPr>
        <w:pStyle w:val="AAATEETE"/>
        <w:rPr>
          <w:lang w:val="sq-AL"/>
        </w:rPr>
      </w:pPr>
      <w:r>
        <w:rPr>
          <w:lang w:val="sq-AL"/>
        </w:rPr>
        <w:t>2.</w:t>
      </w:r>
      <w:r w:rsidR="00702327" w:rsidRPr="008D0C28">
        <w:rPr>
          <w:lang w:val="sq-AL"/>
        </w:rPr>
        <w:t xml:space="preserve"> </w:t>
      </w:r>
      <w:r w:rsidR="00FC7434" w:rsidRPr="008D0C28">
        <w:rPr>
          <w:lang w:val="sq-AL"/>
        </w:rPr>
        <w:t>Qëllimi i funksionit të Llogaritjes së energjisë në kufi të CCFR do të jetë llogaritja e shkëmbimeve të qëllimshme të energjisë si rezultat i pe</w:t>
      </w:r>
      <w:r w:rsidR="00937947">
        <w:rPr>
          <w:lang w:val="sq-AL"/>
        </w:rPr>
        <w:t>riudhës së ndryshimit (rritje/</w:t>
      </w:r>
      <w:r w:rsidR="00FC7434" w:rsidRPr="008D0C28">
        <w:rPr>
          <w:lang w:val="sq-AL"/>
        </w:rPr>
        <w:t xml:space="preserve">ulje) dhe procesit të kontrollit të frekuencës, për çdo periudhë shlyerje </w:t>
      </w:r>
      <w:r>
        <w:rPr>
          <w:lang w:val="sq-AL"/>
        </w:rPr>
        <w:t>TSO–TSO</w:t>
      </w:r>
      <w:r w:rsidR="00FC7434" w:rsidRPr="008D0C28">
        <w:rPr>
          <w:lang w:val="sq-AL"/>
        </w:rPr>
        <w:t xml:space="preserve"> brenda SA CE, në përputhje me </w:t>
      </w:r>
      <w:r w:rsidR="00937947" w:rsidRPr="008D0C28">
        <w:rPr>
          <w:lang w:val="sq-AL"/>
        </w:rPr>
        <w:t>n</w:t>
      </w:r>
      <w:r w:rsidR="00FC7434" w:rsidRPr="008D0C28">
        <w:rPr>
          <w:lang w:val="sq-AL"/>
        </w:rPr>
        <w:t>enin 3 të kësaj CCFR.</w:t>
      </w:r>
    </w:p>
    <w:p w14:paraId="3B858A9E" w14:textId="5C65FC48" w:rsidR="00FC7434" w:rsidRPr="008D0C28" w:rsidRDefault="008D0C28" w:rsidP="00702327">
      <w:pPr>
        <w:pStyle w:val="AAATEETE"/>
        <w:rPr>
          <w:lang w:val="sq-AL"/>
        </w:rPr>
      </w:pPr>
      <w:r>
        <w:rPr>
          <w:lang w:val="sq-AL"/>
        </w:rPr>
        <w:t>3.</w:t>
      </w:r>
      <w:r w:rsidR="00702327" w:rsidRPr="008D0C28">
        <w:rPr>
          <w:lang w:val="sq-AL"/>
        </w:rPr>
        <w:t xml:space="preserve"> </w:t>
      </w:r>
      <w:r w:rsidR="00FC7434" w:rsidRPr="008D0C28">
        <w:rPr>
          <w:lang w:val="sq-AL"/>
        </w:rPr>
        <w:t xml:space="preserve">Qëllimi i funksionit të shlyerjes së CCFR është llogaritja e çmimit të shkëmbimeve të qëllimshme të energjisë si rezultat i procesit të kontrollit të frekuencës për çdo periudhë të shlyerjes </w:t>
      </w:r>
      <w:r>
        <w:rPr>
          <w:lang w:val="sq-AL"/>
        </w:rPr>
        <w:t>TSO–TSO</w:t>
      </w:r>
      <w:r w:rsidR="00FC7434" w:rsidRPr="008D0C28">
        <w:rPr>
          <w:lang w:val="sq-AL"/>
        </w:rPr>
        <w:t xml:space="preserve"> dhe të flukseve financiare midis të gjitha blloqeve LFC ose zonave LFC në SA CE si rezultat i shkëmbimeve të qëllimshme të energjisë së procesit të kontrollit të frekuencës, në përputhje me </w:t>
      </w:r>
      <w:r w:rsidR="00937947" w:rsidRPr="008D0C28">
        <w:rPr>
          <w:lang w:val="sq-AL"/>
        </w:rPr>
        <w:t>n</w:t>
      </w:r>
      <w:r w:rsidR="00FC7434" w:rsidRPr="008D0C28">
        <w:rPr>
          <w:lang w:val="sq-AL"/>
        </w:rPr>
        <w:t>enin 3 të kësaj CCFR.</w:t>
      </w:r>
    </w:p>
    <w:p w14:paraId="0D23A7BE" w14:textId="77777777" w:rsidR="00FC7434" w:rsidRPr="008D0C28" w:rsidRDefault="00FC7434" w:rsidP="00702327">
      <w:pPr>
        <w:pStyle w:val="AAATEETE"/>
        <w:rPr>
          <w:b/>
          <w:bCs/>
          <w:lang w:val="sq-AL"/>
        </w:rPr>
      </w:pPr>
    </w:p>
    <w:p w14:paraId="2BE6DD6C" w14:textId="77777777" w:rsidR="00FC7434" w:rsidRPr="008D0C28" w:rsidRDefault="00FC7434" w:rsidP="00702327">
      <w:pPr>
        <w:pStyle w:val="AAATEETE"/>
        <w:jc w:val="center"/>
        <w:rPr>
          <w:bCs/>
          <w:lang w:val="sq-AL"/>
        </w:rPr>
      </w:pPr>
      <w:r w:rsidRPr="008D0C28">
        <w:rPr>
          <w:bCs/>
          <w:lang w:val="sq-AL"/>
        </w:rPr>
        <w:t>Neni 6</w:t>
      </w:r>
    </w:p>
    <w:p w14:paraId="52C930F4" w14:textId="77777777" w:rsidR="00FC7434" w:rsidRPr="008D0C28" w:rsidRDefault="00FC7434" w:rsidP="00702327">
      <w:pPr>
        <w:pStyle w:val="AAATEETE"/>
        <w:jc w:val="center"/>
        <w:rPr>
          <w:b/>
          <w:bCs/>
          <w:lang w:val="sq-AL"/>
        </w:rPr>
      </w:pPr>
      <w:r w:rsidRPr="008D0C28">
        <w:rPr>
          <w:b/>
          <w:bCs/>
          <w:lang w:val="sq-AL"/>
        </w:rPr>
        <w:t>Periudha e shlyerjes</w:t>
      </w:r>
    </w:p>
    <w:p w14:paraId="0B67EDBD" w14:textId="77777777" w:rsidR="00FC7434" w:rsidRPr="008D0C28" w:rsidRDefault="00FC7434" w:rsidP="00702327">
      <w:pPr>
        <w:pStyle w:val="AAATEETE"/>
        <w:rPr>
          <w:b/>
          <w:bCs/>
          <w:lang w:val="sq-AL"/>
        </w:rPr>
      </w:pPr>
    </w:p>
    <w:p w14:paraId="2D18311F" w14:textId="11287D1F" w:rsidR="00FC7434" w:rsidRPr="008D0C28" w:rsidRDefault="008D0C28" w:rsidP="00702327">
      <w:pPr>
        <w:pStyle w:val="AAATEETE"/>
        <w:rPr>
          <w:rFonts w:cs="Calibri"/>
          <w:lang w:val="sq-AL"/>
        </w:rPr>
      </w:pPr>
      <w:r>
        <w:rPr>
          <w:rFonts w:cs="Calibri"/>
          <w:lang w:val="sq-AL"/>
        </w:rPr>
        <w:t>1.</w:t>
      </w:r>
      <w:r w:rsidR="00702327" w:rsidRPr="008D0C28">
        <w:rPr>
          <w:rFonts w:cs="Calibri"/>
          <w:lang w:val="sq-AL"/>
        </w:rPr>
        <w:t xml:space="preserve"> </w:t>
      </w:r>
      <w:r>
        <w:rPr>
          <w:rFonts w:cs="Calibri"/>
          <w:lang w:val="sq-AL"/>
        </w:rPr>
        <w:t>Periudha e shlyerjes TSO–</w:t>
      </w:r>
      <w:r w:rsidR="00FC7434" w:rsidRPr="008D0C28">
        <w:rPr>
          <w:rFonts w:cs="Calibri"/>
          <w:lang w:val="sq-AL"/>
        </w:rPr>
        <w:t>TSO është caktuar të jetë 15 minuta.</w:t>
      </w:r>
    </w:p>
    <w:p w14:paraId="1421345A" w14:textId="082B6B97" w:rsidR="00FC7434" w:rsidRPr="008D0C28" w:rsidRDefault="00937947" w:rsidP="00702327">
      <w:pPr>
        <w:pStyle w:val="AAATEETE"/>
        <w:rPr>
          <w:rFonts w:cs="Calibri"/>
          <w:lang w:val="sq-AL"/>
        </w:rPr>
      </w:pPr>
      <w:r>
        <w:rPr>
          <w:rFonts w:cs="Calibri"/>
          <w:lang w:val="sq-AL"/>
        </w:rPr>
        <w:t>2.</w:t>
      </w:r>
      <w:r w:rsidR="00702327" w:rsidRPr="008D0C28">
        <w:rPr>
          <w:rFonts w:cs="Calibri"/>
          <w:lang w:val="sq-AL"/>
        </w:rPr>
        <w:t xml:space="preserve"> </w:t>
      </w:r>
      <w:r w:rsidR="00FC7434" w:rsidRPr="008D0C28">
        <w:rPr>
          <w:rFonts w:cs="Calibri"/>
          <w:lang w:val="sq-AL"/>
        </w:rPr>
        <w:t xml:space="preserve">Periudha e shlyerjes </w:t>
      </w:r>
      <w:r w:rsidR="008D0C28">
        <w:rPr>
          <w:rFonts w:cs="Calibri"/>
          <w:lang w:val="sq-AL"/>
        </w:rPr>
        <w:t>TSO–TSO</w:t>
      </w:r>
      <w:r w:rsidR="00FC7434" w:rsidRPr="008D0C28">
        <w:rPr>
          <w:rFonts w:cs="Calibri"/>
          <w:lang w:val="sq-AL"/>
        </w:rPr>
        <w:t xml:space="preserve"> të çdo dite fillon menjëherë pas orës 00:00. Periudhat e shlyerjes </w:t>
      </w:r>
      <w:r w:rsidR="008D0C28">
        <w:rPr>
          <w:rFonts w:cs="Calibri"/>
          <w:lang w:val="sq-AL"/>
        </w:rPr>
        <w:t>TSO–TSO</w:t>
      </w:r>
      <w:r w:rsidR="00FC7434" w:rsidRPr="008D0C28">
        <w:rPr>
          <w:rFonts w:cs="Calibri"/>
          <w:lang w:val="sq-AL"/>
        </w:rPr>
        <w:t xml:space="preserve"> do të jenë të njëpasnjëshme dhe jo të mbivendosura.</w:t>
      </w:r>
    </w:p>
    <w:p w14:paraId="58E21C1D" w14:textId="77777777" w:rsidR="00FC7434" w:rsidRPr="008D0C28" w:rsidRDefault="00FC7434" w:rsidP="00702327">
      <w:pPr>
        <w:pStyle w:val="AAATEETE"/>
        <w:rPr>
          <w:lang w:val="sq-AL"/>
        </w:rPr>
      </w:pPr>
    </w:p>
    <w:p w14:paraId="60A7AD4C" w14:textId="77777777" w:rsidR="00C605D6" w:rsidRDefault="00C605D6" w:rsidP="00702327">
      <w:pPr>
        <w:pStyle w:val="AAATEETE"/>
        <w:jc w:val="center"/>
        <w:rPr>
          <w:rFonts w:cs="Cambria"/>
          <w:lang w:val="sq-AL"/>
        </w:rPr>
      </w:pPr>
    </w:p>
    <w:p w14:paraId="1BB033E6" w14:textId="77777777" w:rsidR="00C605D6" w:rsidRDefault="00C605D6" w:rsidP="00702327">
      <w:pPr>
        <w:pStyle w:val="AAATEETE"/>
        <w:jc w:val="center"/>
        <w:rPr>
          <w:rFonts w:cs="Cambria"/>
          <w:lang w:val="sq-AL"/>
        </w:rPr>
      </w:pPr>
    </w:p>
    <w:p w14:paraId="51C3CFA0" w14:textId="77777777" w:rsidR="00C605D6" w:rsidRDefault="00C605D6" w:rsidP="00702327">
      <w:pPr>
        <w:pStyle w:val="AAATEETE"/>
        <w:jc w:val="center"/>
        <w:rPr>
          <w:rFonts w:cs="Cambria"/>
          <w:lang w:val="sq-AL"/>
        </w:rPr>
      </w:pPr>
    </w:p>
    <w:p w14:paraId="755D5FF2" w14:textId="77777777" w:rsidR="00FC7434" w:rsidRPr="008D0C28" w:rsidRDefault="00FC7434" w:rsidP="00702327">
      <w:pPr>
        <w:pStyle w:val="AAATEETE"/>
        <w:jc w:val="center"/>
        <w:rPr>
          <w:rFonts w:cs="Cambria"/>
          <w:lang w:val="sq-AL"/>
        </w:rPr>
      </w:pPr>
      <w:r w:rsidRPr="008D0C28">
        <w:rPr>
          <w:rFonts w:cs="Cambria"/>
          <w:lang w:val="sq-AL"/>
        </w:rPr>
        <w:lastRenderedPageBreak/>
        <w:t>Neni 7</w:t>
      </w:r>
    </w:p>
    <w:p w14:paraId="1A36B7D5" w14:textId="4D383EF2" w:rsidR="00FC7434" w:rsidRPr="008D0C28" w:rsidRDefault="00FC7434" w:rsidP="00702327">
      <w:pPr>
        <w:pStyle w:val="AAATEETE"/>
        <w:jc w:val="center"/>
        <w:rPr>
          <w:rFonts w:cs="Cambria"/>
          <w:b/>
          <w:lang w:val="sq-AL"/>
        </w:rPr>
      </w:pPr>
      <w:r w:rsidRPr="008D0C28">
        <w:rPr>
          <w:rFonts w:cs="Cambria"/>
          <w:b/>
          <w:lang w:val="sq-AL"/>
        </w:rPr>
        <w:t>Përcaktimi i volumit për periudhën e shlyerjes TSO</w:t>
      </w:r>
      <w:r w:rsidR="00937947">
        <w:rPr>
          <w:rFonts w:cs="Cambria"/>
          <w:b/>
          <w:lang w:val="sq-AL"/>
        </w:rPr>
        <w:t>–</w:t>
      </w:r>
      <w:r w:rsidRPr="008D0C28">
        <w:rPr>
          <w:rFonts w:cs="Cambria"/>
          <w:b/>
          <w:lang w:val="sq-AL"/>
        </w:rPr>
        <w:t>TSO</w:t>
      </w:r>
    </w:p>
    <w:p w14:paraId="40373607" w14:textId="77777777" w:rsidR="00FC7434" w:rsidRPr="008D0C28" w:rsidRDefault="00FC7434" w:rsidP="00702327">
      <w:pPr>
        <w:pStyle w:val="AAATEETE"/>
        <w:jc w:val="center"/>
        <w:rPr>
          <w:rFonts w:cs="Cambria"/>
          <w:lang w:val="sq-AL"/>
        </w:rPr>
      </w:pPr>
    </w:p>
    <w:p w14:paraId="2120879B" w14:textId="00CA7249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1.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 xml:space="preserve">Vëllimet e shkëmbimeve të qëllimshme të energjisë si rezultat i procesit të kontrollit të frekuencës sipas </w:t>
      </w:r>
      <w:r>
        <w:rPr>
          <w:rFonts w:cs="Cambria"/>
          <w:lang w:val="sq-AL"/>
        </w:rPr>
        <w:t>n</w:t>
      </w:r>
      <w:r w:rsidR="00FC7434" w:rsidRPr="008D0C28">
        <w:rPr>
          <w:rFonts w:cs="Cambria"/>
          <w:lang w:val="sq-AL"/>
        </w:rPr>
        <w:t>enit 50</w:t>
      </w:r>
      <w:r w:rsidR="00EB624B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(3)</w:t>
      </w:r>
      <w:r w:rsidR="00EB624B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(a) të EBGL</w:t>
      </w:r>
      <w:r w:rsidR="00EB624B">
        <w:rPr>
          <w:rFonts w:cs="Cambria"/>
          <w:lang w:val="sq-AL"/>
        </w:rPr>
        <w:t>-së</w:t>
      </w:r>
      <w:r w:rsidR="00402BBA">
        <w:rPr>
          <w:rFonts w:cs="Cambria"/>
          <w:lang w:val="sq-AL"/>
        </w:rPr>
        <w:t>,</w:t>
      </w:r>
      <w:r w:rsidR="00FC7434" w:rsidRPr="008D0C28">
        <w:rPr>
          <w:rFonts w:cs="Cambria"/>
          <w:lang w:val="sq-AL"/>
        </w:rPr>
        <w:t xml:space="preserve"> llogariten nga funksioni i </w:t>
      </w:r>
      <w:r w:rsidR="00EB624B">
        <w:rPr>
          <w:rFonts w:cs="Cambria"/>
          <w:lang w:val="sq-AL"/>
        </w:rPr>
        <w:t>l</w:t>
      </w:r>
      <w:r w:rsidR="00FC7434" w:rsidRPr="008D0C28">
        <w:rPr>
          <w:rFonts w:cs="Cambria"/>
          <w:lang w:val="sq-AL"/>
        </w:rPr>
        <w:t xml:space="preserve">logaritjes së energjisë në kufi i CCFR, për secilin </w:t>
      </w:r>
      <w:r w:rsidR="00FF6796">
        <w:rPr>
          <w:rFonts w:cs="Cambria"/>
          <w:lang w:val="sq-AL"/>
        </w:rPr>
        <w:t>bllok LFC-je</w:t>
      </w:r>
      <w:r w:rsidR="00FC7434" w:rsidRPr="008D0C28">
        <w:rPr>
          <w:rFonts w:cs="Cambria"/>
          <w:lang w:val="sq-AL"/>
        </w:rPr>
        <w:t xml:space="preserve"> ose </w:t>
      </w:r>
      <w:r w:rsidR="00FF6796">
        <w:rPr>
          <w:rFonts w:cs="Cambria"/>
          <w:lang w:val="sq-AL"/>
        </w:rPr>
        <w:t>zonë LFC-je</w:t>
      </w:r>
      <w:r w:rsidR="00FC7434" w:rsidRPr="008D0C28">
        <w:rPr>
          <w:rFonts w:cs="Cambria"/>
          <w:lang w:val="sq-AL"/>
        </w:rPr>
        <w:t xml:space="preserve"> për çdo periudhë shlyerje </w:t>
      </w:r>
      <w:r>
        <w:rPr>
          <w:rFonts w:cs="Cambria"/>
          <w:lang w:val="sq-AL"/>
        </w:rPr>
        <w:t>TSO–TSO</w:t>
      </w:r>
      <w:r w:rsidR="00FC7434" w:rsidRPr="008D0C28">
        <w:rPr>
          <w:rFonts w:cs="Cambria"/>
          <w:lang w:val="sq-AL"/>
        </w:rPr>
        <w:t xml:space="preserve">, si produkt i faktorit k të njohur dhe devijimit mesatar të frekuencës për atë periudhë shlyerje </w:t>
      </w:r>
      <w:r>
        <w:rPr>
          <w:rFonts w:cs="Cambria"/>
          <w:lang w:val="sq-AL"/>
        </w:rPr>
        <w:t>TSO–TSO</w:t>
      </w:r>
      <w:r w:rsidR="00EB624B">
        <w:rPr>
          <w:rFonts w:cs="Cambria"/>
          <w:lang w:val="sq-AL"/>
        </w:rPr>
        <w:t xml:space="preserve">, </w:t>
      </w:r>
      <w:r w:rsidR="00FC7434" w:rsidRPr="008D0C28">
        <w:rPr>
          <w:rFonts w:cs="Cambria"/>
          <w:lang w:val="sq-AL"/>
        </w:rPr>
        <w:t xml:space="preserve">në përputhje me </w:t>
      </w:r>
      <w:r w:rsidR="00937947" w:rsidRPr="008D0C28">
        <w:rPr>
          <w:rFonts w:cs="Cambria"/>
          <w:lang w:val="sq-AL"/>
        </w:rPr>
        <w:t>ne</w:t>
      </w:r>
      <w:r w:rsidR="00FC7434" w:rsidRPr="008D0C28">
        <w:rPr>
          <w:rFonts w:cs="Cambria"/>
          <w:lang w:val="sq-AL"/>
        </w:rPr>
        <w:t>nin 3 të kësaj CCFR</w:t>
      </w:r>
      <w:r w:rsidR="00B40A80">
        <w:rPr>
          <w:rFonts w:cs="Cambria"/>
          <w:lang w:val="sq-AL"/>
        </w:rPr>
        <w:t>-je</w:t>
      </w:r>
      <w:r w:rsidR="00FC7434" w:rsidRPr="008D0C28">
        <w:rPr>
          <w:rFonts w:cs="Cambria"/>
          <w:lang w:val="sq-AL"/>
        </w:rPr>
        <w:t>.</w:t>
      </w:r>
    </w:p>
    <w:p w14:paraId="77FF0FB6" w14:textId="057D8EFF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2.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 xml:space="preserve">Vëllimet e shkëmbimeve të qëllimshme të energjisë si rezultat i </w:t>
      </w:r>
      <w:r>
        <w:rPr>
          <w:rFonts w:cs="Cambria"/>
          <w:lang w:val="sq-AL"/>
        </w:rPr>
        <w:t>periudhës së ndryshimit (rritje/</w:t>
      </w:r>
      <w:r w:rsidR="00FC7434" w:rsidRPr="008D0C28">
        <w:rPr>
          <w:rFonts w:cs="Cambria"/>
          <w:lang w:val="sq-AL"/>
        </w:rPr>
        <w:t xml:space="preserve">ulje) sipas </w:t>
      </w:r>
      <w:r w:rsidR="00937947" w:rsidRPr="008D0C28">
        <w:rPr>
          <w:rFonts w:cs="Cambria"/>
          <w:lang w:val="sq-AL"/>
        </w:rPr>
        <w:t>n</w:t>
      </w:r>
      <w:r w:rsidR="00FC7434" w:rsidRPr="008D0C28">
        <w:rPr>
          <w:rFonts w:cs="Cambria"/>
          <w:lang w:val="sq-AL"/>
        </w:rPr>
        <w:t>enit 50</w:t>
      </w:r>
      <w:r w:rsidR="00B40A80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(3)</w:t>
      </w:r>
      <w:r w:rsidR="00B40A80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(b) të EBGL</w:t>
      </w:r>
      <w:r w:rsidR="00B40A80">
        <w:rPr>
          <w:rFonts w:cs="Cambria"/>
          <w:lang w:val="sq-AL"/>
        </w:rPr>
        <w:t>-së</w:t>
      </w:r>
      <w:r w:rsidR="00FC7434" w:rsidRPr="008D0C28">
        <w:rPr>
          <w:rFonts w:cs="Cambria"/>
          <w:lang w:val="sq-AL"/>
        </w:rPr>
        <w:t xml:space="preserve"> dhe </w:t>
      </w:r>
      <w:r w:rsidR="00937947" w:rsidRPr="008D0C28">
        <w:rPr>
          <w:rFonts w:cs="Cambria"/>
          <w:lang w:val="sq-AL"/>
        </w:rPr>
        <w:t>n</w:t>
      </w:r>
      <w:r w:rsidR="00FC7434" w:rsidRPr="008D0C28">
        <w:rPr>
          <w:rFonts w:cs="Cambria"/>
          <w:lang w:val="sq-AL"/>
        </w:rPr>
        <w:t>enit 136 të SOGL</w:t>
      </w:r>
      <w:r w:rsidR="00B40A80">
        <w:rPr>
          <w:rFonts w:cs="Cambria"/>
          <w:lang w:val="sq-AL"/>
        </w:rPr>
        <w:t>-së</w:t>
      </w:r>
      <w:r w:rsidR="00402BBA">
        <w:rPr>
          <w:rFonts w:cs="Cambria"/>
          <w:lang w:val="sq-AL"/>
        </w:rPr>
        <w:t>,</w:t>
      </w:r>
      <w:r w:rsidR="00FC7434" w:rsidRPr="008D0C28">
        <w:rPr>
          <w:rFonts w:cs="Cambria"/>
          <w:lang w:val="sq-AL"/>
        </w:rPr>
        <w:t xml:space="preserve"> llogariten me anë të funksionit të Llogaritjes së energjisë në kufi të CCFR</w:t>
      </w:r>
      <w:r w:rsidR="00B40A80">
        <w:rPr>
          <w:rFonts w:cs="Cambria"/>
          <w:lang w:val="sq-AL"/>
        </w:rPr>
        <w:t>-së</w:t>
      </w:r>
      <w:r w:rsidR="00FF6796">
        <w:rPr>
          <w:rFonts w:cs="Cambria"/>
          <w:lang w:val="sq-AL"/>
        </w:rPr>
        <w:t xml:space="preserve"> për çdo bllok LFC-je ose zonë LFC-je </w:t>
      </w:r>
      <w:r w:rsidR="00FC7434" w:rsidRPr="008D0C28">
        <w:rPr>
          <w:rFonts w:cs="Cambria"/>
          <w:lang w:val="sq-AL"/>
        </w:rPr>
        <w:t xml:space="preserve">dhe për periudhën e shlyerjes </w:t>
      </w:r>
      <w:r>
        <w:rPr>
          <w:rFonts w:cs="Cambria"/>
          <w:lang w:val="sq-AL"/>
        </w:rPr>
        <w:t>TSO–TSO</w:t>
      </w:r>
      <w:r w:rsidR="00FC7434" w:rsidRPr="008D0C28">
        <w:rPr>
          <w:rFonts w:cs="Cambria"/>
          <w:lang w:val="sq-AL"/>
        </w:rPr>
        <w:t xml:space="preserve">, në përputhje me </w:t>
      </w:r>
      <w:r w:rsidR="00937947" w:rsidRPr="008D0C28">
        <w:rPr>
          <w:rFonts w:cs="Cambria"/>
          <w:lang w:val="sq-AL"/>
        </w:rPr>
        <w:t>ne</w:t>
      </w:r>
      <w:r w:rsidR="00FC7434" w:rsidRPr="008D0C28">
        <w:rPr>
          <w:rFonts w:cs="Cambria"/>
          <w:lang w:val="sq-AL"/>
        </w:rPr>
        <w:t>nin 136 të SOGL</w:t>
      </w:r>
      <w:r w:rsidR="00B40A80">
        <w:rPr>
          <w:rFonts w:cs="Cambria"/>
          <w:lang w:val="sq-AL"/>
        </w:rPr>
        <w:t>-së</w:t>
      </w:r>
      <w:r w:rsidR="00FC7434" w:rsidRPr="008D0C28">
        <w:rPr>
          <w:rFonts w:cs="Cambria"/>
          <w:lang w:val="sq-AL"/>
        </w:rPr>
        <w:t>.</w:t>
      </w:r>
    </w:p>
    <w:p w14:paraId="0F0AA11F" w14:textId="3CE38DFA" w:rsidR="00FC7434" w:rsidRPr="008D0C28" w:rsidRDefault="008D0C28" w:rsidP="00702327">
      <w:pPr>
        <w:pStyle w:val="AAATEETE"/>
        <w:rPr>
          <w:lang w:val="sq-AL"/>
        </w:rPr>
      </w:pPr>
      <w:r>
        <w:rPr>
          <w:lang w:val="sq-AL"/>
        </w:rPr>
        <w:t>3.</w:t>
      </w:r>
      <w:r w:rsidR="00702327" w:rsidRPr="008D0C28">
        <w:rPr>
          <w:lang w:val="sq-AL"/>
        </w:rPr>
        <w:t xml:space="preserve"> </w:t>
      </w:r>
      <w:r w:rsidR="00FC7434" w:rsidRPr="008D0C28">
        <w:rPr>
          <w:lang w:val="sq-AL"/>
        </w:rPr>
        <w:t xml:space="preserve">Vëllimet e shkëmbimeve të paqëllimshme sipas </w:t>
      </w:r>
      <w:r w:rsidR="00937947" w:rsidRPr="008D0C28">
        <w:rPr>
          <w:lang w:val="sq-AL"/>
        </w:rPr>
        <w:t>ne</w:t>
      </w:r>
      <w:r w:rsidR="00FC7434" w:rsidRPr="008D0C28">
        <w:rPr>
          <w:lang w:val="sq-AL"/>
        </w:rPr>
        <w:t>nit 51</w:t>
      </w:r>
      <w:r w:rsidR="00EB624B">
        <w:rPr>
          <w:lang w:val="sq-AL"/>
        </w:rPr>
        <w:t xml:space="preserve"> </w:t>
      </w:r>
      <w:r w:rsidR="00FC7434" w:rsidRPr="008D0C28">
        <w:rPr>
          <w:lang w:val="sq-AL"/>
        </w:rPr>
        <w:t>(1) të EBGL</w:t>
      </w:r>
      <w:r w:rsidR="00EB624B">
        <w:rPr>
          <w:lang w:val="sq-AL"/>
        </w:rPr>
        <w:t>-së</w:t>
      </w:r>
      <w:r w:rsidR="00402BBA">
        <w:rPr>
          <w:lang w:val="sq-AL"/>
        </w:rPr>
        <w:t>,</w:t>
      </w:r>
      <w:r w:rsidR="00FC7434" w:rsidRPr="008D0C28">
        <w:rPr>
          <w:lang w:val="sq-AL"/>
        </w:rPr>
        <w:t xml:space="preserve"> llogaritet me anë të funksionit të </w:t>
      </w:r>
      <w:r w:rsidR="00937947">
        <w:rPr>
          <w:lang w:val="sq-AL"/>
        </w:rPr>
        <w:t>l</w:t>
      </w:r>
      <w:r w:rsidR="00FC7434" w:rsidRPr="008D0C28">
        <w:rPr>
          <w:lang w:val="sq-AL"/>
        </w:rPr>
        <w:t>logaritjes së energjisë në kufi CCU,</w:t>
      </w:r>
      <w:r w:rsidR="00FF6796">
        <w:rPr>
          <w:lang w:val="sq-AL"/>
        </w:rPr>
        <w:t xml:space="preserve"> për çdo bllok LFC-je ose zonë LFC-je </w:t>
      </w:r>
      <w:r w:rsidR="00FC7434" w:rsidRPr="008D0C28">
        <w:rPr>
          <w:lang w:val="sq-AL"/>
        </w:rPr>
        <w:t xml:space="preserve">dhe për periudhën e shlyerjes </w:t>
      </w:r>
      <w:r>
        <w:rPr>
          <w:lang w:val="sq-AL"/>
        </w:rPr>
        <w:t>TSO–TSO</w:t>
      </w:r>
      <w:r w:rsidR="00FC7434" w:rsidRPr="008D0C28">
        <w:rPr>
          <w:lang w:val="sq-AL"/>
        </w:rPr>
        <w:t>, në përputhje me CCU</w:t>
      </w:r>
      <w:r w:rsidR="00B40A80">
        <w:rPr>
          <w:lang w:val="sq-AL"/>
        </w:rPr>
        <w:t>-</w:t>
      </w:r>
      <w:r w:rsidR="00FF6796">
        <w:rPr>
          <w:lang w:val="sq-AL"/>
        </w:rPr>
        <w:t>n</w:t>
      </w:r>
      <w:r w:rsidR="00B40A80">
        <w:rPr>
          <w:lang w:val="sq-AL"/>
        </w:rPr>
        <w:t>ë</w:t>
      </w:r>
      <w:r w:rsidR="00FC7434" w:rsidRPr="008D0C28">
        <w:rPr>
          <w:lang w:val="sq-AL"/>
        </w:rPr>
        <w:t>.</w:t>
      </w:r>
    </w:p>
    <w:p w14:paraId="25D3DA3C" w14:textId="77777777" w:rsidR="00FC7434" w:rsidRPr="008D0C28" w:rsidRDefault="00FC7434" w:rsidP="00702327">
      <w:pPr>
        <w:pStyle w:val="AAATEETE"/>
        <w:rPr>
          <w:lang w:val="sq-AL"/>
        </w:rPr>
      </w:pPr>
    </w:p>
    <w:p w14:paraId="4B67FD92" w14:textId="77777777" w:rsidR="00FC7434" w:rsidRPr="008D0C28" w:rsidRDefault="00FC7434" w:rsidP="00702327">
      <w:pPr>
        <w:pStyle w:val="AAATEETE"/>
        <w:jc w:val="center"/>
        <w:rPr>
          <w:rFonts w:cs="Cambria"/>
          <w:lang w:val="sq-AL"/>
        </w:rPr>
      </w:pPr>
      <w:r w:rsidRPr="008D0C28">
        <w:rPr>
          <w:rFonts w:cs="Cambria"/>
          <w:lang w:val="sq-AL"/>
        </w:rPr>
        <w:t>Neni 8</w:t>
      </w:r>
    </w:p>
    <w:p w14:paraId="6F77B8B5" w14:textId="0795C575" w:rsidR="00FC7434" w:rsidRPr="008D0C28" w:rsidRDefault="00FC7434" w:rsidP="00702327">
      <w:pPr>
        <w:pStyle w:val="AAATEETE"/>
        <w:jc w:val="center"/>
        <w:rPr>
          <w:rFonts w:cs="Cambria"/>
          <w:b/>
          <w:lang w:val="sq-AL"/>
        </w:rPr>
      </w:pPr>
      <w:r w:rsidRPr="008D0C28">
        <w:rPr>
          <w:rFonts w:cs="Cambria"/>
          <w:b/>
          <w:lang w:val="sq-AL"/>
        </w:rPr>
        <w:t>Rregullat e tarifimit për shkëmbimet TSO</w:t>
      </w:r>
      <w:r w:rsidR="00937947">
        <w:rPr>
          <w:rFonts w:cs="Cambria"/>
          <w:b/>
          <w:lang w:val="sq-AL"/>
        </w:rPr>
        <w:t>–</w:t>
      </w:r>
      <w:r w:rsidRPr="008D0C28">
        <w:rPr>
          <w:rFonts w:cs="Cambria"/>
          <w:b/>
          <w:lang w:val="sq-AL"/>
        </w:rPr>
        <w:t>TSO</w:t>
      </w:r>
      <w:r w:rsidR="00937947">
        <w:rPr>
          <w:rFonts w:cs="Cambria"/>
          <w:b/>
          <w:lang w:val="sq-AL"/>
        </w:rPr>
        <w:t xml:space="preserve"> </w:t>
      </w:r>
      <w:r w:rsidRPr="008D0C28">
        <w:rPr>
          <w:rFonts w:cs="Cambria"/>
          <w:b/>
          <w:lang w:val="sq-AL"/>
        </w:rPr>
        <w:t>brenda SA CE</w:t>
      </w:r>
    </w:p>
    <w:p w14:paraId="5EF5DC75" w14:textId="77777777" w:rsidR="00FC7434" w:rsidRPr="008D0C28" w:rsidRDefault="00FC7434" w:rsidP="00702327">
      <w:pPr>
        <w:pStyle w:val="AAATEETE"/>
        <w:rPr>
          <w:rFonts w:cs="Cambria"/>
          <w:lang w:val="sq-AL"/>
        </w:rPr>
      </w:pPr>
    </w:p>
    <w:p w14:paraId="19175324" w14:textId="145D887F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1.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 xml:space="preserve">Çmimi për shkëmbimet e qëllimshme të energjisë si rezultat i </w:t>
      </w:r>
      <w:r w:rsidR="00EB624B">
        <w:rPr>
          <w:rFonts w:cs="Cambria"/>
          <w:lang w:val="sq-AL"/>
        </w:rPr>
        <w:t xml:space="preserve">periudhës së ndryshimit (rritje/ </w:t>
      </w:r>
      <w:r w:rsidR="00FC7434" w:rsidRPr="008D0C28">
        <w:rPr>
          <w:rFonts w:cs="Cambria"/>
          <w:lang w:val="sq-AL"/>
        </w:rPr>
        <w:t>ulje) sipas nenit 50</w:t>
      </w:r>
      <w:r w:rsidR="00EB624B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(3)</w:t>
      </w:r>
      <w:r w:rsidR="00EB624B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(b) të EBGL</w:t>
      </w:r>
      <w:r w:rsidR="00937947">
        <w:rPr>
          <w:rFonts w:cs="Cambria"/>
          <w:lang w:val="sq-AL"/>
        </w:rPr>
        <w:t>-së</w:t>
      </w:r>
      <w:r w:rsidR="00FC7434" w:rsidRPr="008D0C28">
        <w:rPr>
          <w:rFonts w:cs="Cambria"/>
          <w:lang w:val="sq-AL"/>
        </w:rPr>
        <w:t xml:space="preserve"> është zero (0)</w:t>
      </w:r>
      <w:r w:rsidR="00937947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EUR/</w:t>
      </w:r>
      <w:r w:rsidR="00937947" w:rsidRPr="008D0C28">
        <w:rPr>
          <w:rFonts w:cs="Cambria"/>
          <w:lang w:val="sq-AL"/>
        </w:rPr>
        <w:t>mw</w:t>
      </w:r>
      <w:r w:rsidR="00FC7434" w:rsidRPr="008D0C28">
        <w:rPr>
          <w:rFonts w:cs="Cambria"/>
          <w:lang w:val="sq-AL"/>
        </w:rPr>
        <w:t>h.</w:t>
      </w:r>
    </w:p>
    <w:p w14:paraId="2EDD4F5D" w14:textId="1706ECA3" w:rsidR="00FC7434" w:rsidRPr="008D0C28" w:rsidRDefault="008D0C28" w:rsidP="00702327">
      <w:pPr>
        <w:pStyle w:val="AAATEETE"/>
        <w:rPr>
          <w:rFonts w:cs="Cambria"/>
          <w:lang w:val="sq-AL"/>
        </w:rPr>
      </w:pPr>
      <w:r>
        <w:rPr>
          <w:rFonts w:cs="Cambria"/>
          <w:lang w:val="sq-AL"/>
        </w:rPr>
        <w:t>2.</w:t>
      </w:r>
      <w:r w:rsidR="00702327" w:rsidRPr="008D0C28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 xml:space="preserve">Çmimi për shkëmbimet e qëllimshme të energjisë në përputhje me </w:t>
      </w:r>
      <w:r w:rsidR="00937947" w:rsidRPr="008D0C28">
        <w:rPr>
          <w:rFonts w:cs="Cambria"/>
          <w:lang w:val="sq-AL"/>
        </w:rPr>
        <w:t>nen</w:t>
      </w:r>
      <w:r w:rsidR="00FC7434" w:rsidRPr="008D0C28">
        <w:rPr>
          <w:rFonts w:cs="Cambria"/>
          <w:lang w:val="sq-AL"/>
        </w:rPr>
        <w:t>in 50</w:t>
      </w:r>
      <w:r w:rsidR="00EB624B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(3)</w:t>
      </w:r>
      <w:r w:rsidR="00EB624B">
        <w:rPr>
          <w:rFonts w:cs="Cambria"/>
          <w:lang w:val="sq-AL"/>
        </w:rPr>
        <w:t xml:space="preserve"> </w:t>
      </w:r>
      <w:r w:rsidR="00FC7434" w:rsidRPr="008D0C28">
        <w:rPr>
          <w:rFonts w:cs="Cambria"/>
          <w:lang w:val="sq-AL"/>
        </w:rPr>
        <w:t>(a) të EBGL</w:t>
      </w:r>
      <w:r w:rsidR="00EB624B">
        <w:rPr>
          <w:rFonts w:cs="Cambria"/>
          <w:lang w:val="sq-AL"/>
        </w:rPr>
        <w:t>-së</w:t>
      </w:r>
      <w:r w:rsidR="00FC7434" w:rsidRPr="008D0C28">
        <w:rPr>
          <w:rFonts w:cs="Cambria"/>
          <w:lang w:val="sq-AL"/>
        </w:rPr>
        <w:t xml:space="preserve"> do të llogaritet nga njësia të cilës i është besuar funksioni i shlyerjes CCFR si shumë e elementeve vijuese në EUR/</w:t>
      </w:r>
      <w:r w:rsidR="00EB624B" w:rsidRPr="008D0C28">
        <w:rPr>
          <w:rFonts w:cs="Cambria"/>
          <w:lang w:val="sq-AL"/>
        </w:rPr>
        <w:t>mw</w:t>
      </w:r>
      <w:r w:rsidR="00FC7434" w:rsidRPr="008D0C28">
        <w:rPr>
          <w:rFonts w:cs="Cambria"/>
          <w:lang w:val="sq-AL"/>
        </w:rPr>
        <w:t xml:space="preserve">h, për periudhën e shlyerjes </w:t>
      </w:r>
      <w:r>
        <w:rPr>
          <w:rFonts w:cs="Cambria"/>
          <w:lang w:val="sq-AL"/>
        </w:rPr>
        <w:t>TSO–TSO</w:t>
      </w:r>
      <w:r w:rsidR="00FC7434" w:rsidRPr="008D0C28">
        <w:rPr>
          <w:rFonts w:cs="Cambria"/>
          <w:lang w:val="sq-AL"/>
        </w:rPr>
        <w:t>:</w:t>
      </w:r>
    </w:p>
    <w:p w14:paraId="7B3A80F7" w14:textId="783B5AFE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8D0C28">
        <w:rPr>
          <w:rFonts w:cs="Cambria"/>
          <w:lang w:val="sq-AL"/>
        </w:rPr>
        <w:t>a)</w:t>
      </w:r>
      <w:r w:rsidR="00702327" w:rsidRPr="008D0C28">
        <w:rPr>
          <w:rFonts w:cs="Cambria"/>
          <w:lang w:val="sq-AL"/>
        </w:rPr>
        <w:t xml:space="preserve"> </w:t>
      </w:r>
      <w:r w:rsidR="00B40A80">
        <w:rPr>
          <w:rFonts w:cs="Cambria"/>
          <w:lang w:val="sq-AL"/>
        </w:rPr>
        <w:t>n</w:t>
      </w:r>
      <w:r w:rsidRPr="008D0C28">
        <w:rPr>
          <w:rFonts w:cs="Cambria"/>
          <w:lang w:val="sq-AL"/>
        </w:rPr>
        <w:t xml:space="preserve">jë komponent i çmimit referues i llogaritur për çdo periudhë të caktuar të shlyerjes </w:t>
      </w:r>
      <w:r w:rsidR="008D0C28"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 si çmim mesatar i ponderuar i tregut të ditës së mëparshme të të gjitha blloqeve LFC brenda SA CE për atë periudhë të shlyerjes </w:t>
      </w:r>
      <w:r w:rsidR="008D0C28">
        <w:rPr>
          <w:rFonts w:cs="Cambria"/>
          <w:lang w:val="sq-AL"/>
        </w:rPr>
        <w:t>TSO–TSO</w:t>
      </w:r>
      <w:r w:rsidRPr="008D0C28">
        <w:rPr>
          <w:rFonts w:cs="Cambria"/>
          <w:lang w:val="sq-AL"/>
        </w:rPr>
        <w:t xml:space="preserve">, e matur me vlerën absolute të shumës së shkëmbimeve të qëllimshme të energjisë në përputhje me </w:t>
      </w:r>
      <w:r w:rsidR="00937947" w:rsidRPr="008D0C28">
        <w:rPr>
          <w:rFonts w:cs="Cambria"/>
          <w:lang w:val="sq-AL"/>
        </w:rPr>
        <w:t>ne</w:t>
      </w:r>
      <w:r w:rsidRPr="008D0C28">
        <w:rPr>
          <w:rFonts w:cs="Cambria"/>
          <w:lang w:val="sq-AL"/>
        </w:rPr>
        <w:t>nin 50 (3) (a) të EBGL</w:t>
      </w:r>
      <w:r w:rsidR="00B40A80">
        <w:rPr>
          <w:rFonts w:cs="Cambria"/>
          <w:lang w:val="sq-AL"/>
        </w:rPr>
        <w:t>-së</w:t>
      </w:r>
      <w:r w:rsidRPr="008D0C28">
        <w:rPr>
          <w:rFonts w:cs="Cambria"/>
          <w:lang w:val="sq-AL"/>
        </w:rPr>
        <w:t xml:space="preserve"> dhe shkëmbimeve të paqëllimshme të energjisë sipas </w:t>
      </w:r>
      <w:r w:rsidR="00937947" w:rsidRPr="008D0C28">
        <w:rPr>
          <w:rFonts w:cs="Cambria"/>
          <w:lang w:val="sq-AL"/>
        </w:rPr>
        <w:t>nen</w:t>
      </w:r>
      <w:r w:rsidRPr="008D0C28">
        <w:rPr>
          <w:rFonts w:cs="Cambria"/>
          <w:lang w:val="sq-AL"/>
        </w:rPr>
        <w:t>it 51 (1) të EBGL</w:t>
      </w:r>
      <w:r w:rsidR="00937947">
        <w:rPr>
          <w:rFonts w:cs="Cambria"/>
          <w:lang w:val="sq-AL"/>
        </w:rPr>
        <w:t>-së</w:t>
      </w:r>
      <w:r w:rsidR="00B40A80">
        <w:rPr>
          <w:rFonts w:cs="Cambria"/>
          <w:lang w:val="sq-AL"/>
        </w:rPr>
        <w:t xml:space="preserve">, të secilit </w:t>
      </w:r>
      <w:r w:rsidR="00FF6796">
        <w:rPr>
          <w:rFonts w:cs="Cambria"/>
          <w:lang w:val="sq-AL"/>
        </w:rPr>
        <w:t>bllok LFC-je</w:t>
      </w:r>
      <w:r w:rsidR="00B40A80">
        <w:rPr>
          <w:rFonts w:cs="Cambria"/>
          <w:lang w:val="sq-AL"/>
        </w:rPr>
        <w:t>;</w:t>
      </w:r>
    </w:p>
    <w:p w14:paraId="0E72904D" w14:textId="489C3BDE" w:rsidR="00FC7434" w:rsidRPr="008D0C28" w:rsidRDefault="00FC7434" w:rsidP="00702327">
      <w:pPr>
        <w:pStyle w:val="AAATEETE"/>
        <w:rPr>
          <w:rFonts w:cs="Cambria"/>
          <w:lang w:val="sq-AL"/>
        </w:rPr>
      </w:pPr>
      <w:r w:rsidRPr="00C605D6">
        <w:rPr>
          <w:rFonts w:cs="Cambria"/>
          <w:lang w:val="sq-AL"/>
        </w:rPr>
        <w:t>b)</w:t>
      </w:r>
      <w:r w:rsidR="00702327" w:rsidRPr="008D0C28">
        <w:rPr>
          <w:rFonts w:cs="Cambria"/>
          <w:lang w:val="sq-AL"/>
        </w:rPr>
        <w:t xml:space="preserve"> </w:t>
      </w:r>
      <w:r w:rsidR="00B40A80">
        <w:rPr>
          <w:rFonts w:cs="Cambria"/>
          <w:lang w:val="sq-AL"/>
        </w:rPr>
        <w:t>d</w:t>
      </w:r>
      <w:r w:rsidRPr="008D0C28">
        <w:rPr>
          <w:rFonts w:cs="Cambria"/>
          <w:lang w:val="sq-AL"/>
        </w:rPr>
        <w:t>o të zbatohen rregullat e mëposhtme:</w:t>
      </w:r>
    </w:p>
    <w:p w14:paraId="5C168428" w14:textId="457BB4ED" w:rsidR="00FC7434" w:rsidRPr="008D0C28" w:rsidRDefault="00FC7434" w:rsidP="00702327">
      <w:pPr>
        <w:pStyle w:val="AAATEETE"/>
        <w:rPr>
          <w:rFonts w:cs="Calibri"/>
          <w:lang w:val="sq-AL"/>
        </w:rPr>
      </w:pPr>
      <w:r w:rsidRPr="008D0C28">
        <w:rPr>
          <w:rFonts w:cs="Calibri"/>
          <w:lang w:val="sq-AL"/>
        </w:rPr>
        <w:t>i.</w:t>
      </w:r>
      <w:r w:rsidR="00702327" w:rsidRPr="008D0C28">
        <w:rPr>
          <w:rFonts w:cs="Calibri"/>
          <w:lang w:val="sq-AL"/>
        </w:rPr>
        <w:t xml:space="preserve"> </w:t>
      </w:r>
      <w:r w:rsidR="00B40A80"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 xml:space="preserve">ë rast se ka më shumë se një çmim të tregut të një ditë më parë për bllokun LFC për atë periudhë të shlyerje </w:t>
      </w:r>
      <w:r w:rsidR="008D0C28">
        <w:rPr>
          <w:rFonts w:cs="Calibri"/>
          <w:lang w:val="sq-AL"/>
        </w:rPr>
        <w:t>TSO–TSO</w:t>
      </w:r>
      <w:r w:rsidRPr="008D0C28">
        <w:rPr>
          <w:rFonts w:cs="Calibri"/>
          <w:lang w:val="sq-AL"/>
        </w:rPr>
        <w:t>, çmimi mesatar i ponderuar llogaritet nga njësia së cilës i është besuar funksioni i shlyerjes dhe përdoret në 8</w:t>
      </w:r>
      <w:r w:rsidR="00EB624B"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>(2)</w:t>
      </w:r>
      <w:r w:rsidR="00EB624B"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 xml:space="preserve">(a) për bllokun përkatës LFC. Çmimi mesatar i ponderuar i një blloku LFC llogaritet duke ponderuar çmimet e tregut të ditës së mëparshme të zonave LFC në atë </w:t>
      </w:r>
      <w:r w:rsidR="00FF6796">
        <w:rPr>
          <w:rFonts w:cs="Calibri"/>
          <w:lang w:val="sq-AL"/>
        </w:rPr>
        <w:t xml:space="preserve">bllok LFC-je </w:t>
      </w:r>
      <w:r w:rsidRPr="008D0C28">
        <w:rPr>
          <w:rFonts w:cs="Calibri"/>
          <w:lang w:val="sq-AL"/>
        </w:rPr>
        <w:t xml:space="preserve">me faktorin përkatës k të njoftuar të secilës </w:t>
      </w:r>
      <w:r w:rsidR="00FF6796">
        <w:rPr>
          <w:rFonts w:cs="Calibri"/>
          <w:lang w:val="sq-AL"/>
        </w:rPr>
        <w:t>zonë LFC-je</w:t>
      </w:r>
      <w:r w:rsidRPr="008D0C28">
        <w:rPr>
          <w:rFonts w:cs="Calibri"/>
          <w:lang w:val="sq-AL"/>
        </w:rPr>
        <w:t xml:space="preserve">. Nëse nuk ka çmim të tregut për një ditë më parë në një </w:t>
      </w:r>
      <w:r w:rsidR="00FF6796">
        <w:rPr>
          <w:rFonts w:cs="Calibri"/>
          <w:lang w:val="sq-AL"/>
        </w:rPr>
        <w:t xml:space="preserve">zonë LFC-je </w:t>
      </w:r>
      <w:r w:rsidRPr="008D0C28">
        <w:rPr>
          <w:rFonts w:cs="Calibri"/>
          <w:lang w:val="sq-AL"/>
        </w:rPr>
        <w:t xml:space="preserve">brenda bllokut LFC, kjo </w:t>
      </w:r>
      <w:r w:rsidR="00FF6796">
        <w:rPr>
          <w:rFonts w:cs="Calibri"/>
          <w:lang w:val="sq-AL"/>
        </w:rPr>
        <w:t xml:space="preserve">zonë LFC-je </w:t>
      </w:r>
      <w:r w:rsidRPr="008D0C28">
        <w:rPr>
          <w:rFonts w:cs="Calibri"/>
          <w:lang w:val="sq-AL"/>
        </w:rPr>
        <w:t>nuk konsiderohet për llogaritjen e çmimit mesatar të ponderuar të bllokut LFC</w:t>
      </w:r>
      <w:r w:rsidR="00B40A80">
        <w:rPr>
          <w:rFonts w:cs="Calibri"/>
          <w:lang w:val="sq-AL"/>
        </w:rPr>
        <w:t>;</w:t>
      </w:r>
    </w:p>
    <w:p w14:paraId="66D8D67C" w14:textId="57EB21FA" w:rsidR="00FC7434" w:rsidRPr="008D0C28" w:rsidRDefault="00FC7434" w:rsidP="00702327">
      <w:pPr>
        <w:pStyle w:val="AAATEETE"/>
        <w:rPr>
          <w:rFonts w:cs="Calibri"/>
          <w:lang w:val="sq-AL"/>
        </w:rPr>
      </w:pPr>
      <w:r w:rsidRPr="008D0C28">
        <w:rPr>
          <w:rFonts w:cs="Calibri"/>
          <w:lang w:val="sq-AL"/>
        </w:rPr>
        <w:t>ii.</w:t>
      </w:r>
      <w:r w:rsidR="00702327" w:rsidRPr="008D0C28">
        <w:rPr>
          <w:rFonts w:cs="Calibri"/>
          <w:lang w:val="sq-AL"/>
        </w:rPr>
        <w:t xml:space="preserve"> </w:t>
      </w:r>
      <w:r w:rsidR="00B40A80"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>ë rast se ka më shumë se një çmim të tregut të një dite më parë</w:t>
      </w:r>
      <w:r w:rsidR="00FF6796">
        <w:rPr>
          <w:rFonts w:cs="Calibri"/>
          <w:lang w:val="sq-AL"/>
        </w:rPr>
        <w:t xml:space="preserve"> në një zonë LFC-je </w:t>
      </w:r>
      <w:r w:rsidRPr="008D0C28">
        <w:rPr>
          <w:rFonts w:cs="Calibri"/>
          <w:lang w:val="sq-AL"/>
        </w:rPr>
        <w:t xml:space="preserve">për atë periudhë të shlyerjes </w:t>
      </w:r>
      <w:r w:rsidR="008D0C28">
        <w:rPr>
          <w:rFonts w:cs="Calibri"/>
          <w:lang w:val="sq-AL"/>
        </w:rPr>
        <w:t>TSO–TSO</w:t>
      </w:r>
      <w:r w:rsidRPr="008D0C28">
        <w:rPr>
          <w:rFonts w:cs="Calibri"/>
          <w:lang w:val="sq-AL"/>
        </w:rPr>
        <w:t>, TSO</w:t>
      </w:r>
      <w:r w:rsidR="00B40A80">
        <w:rPr>
          <w:rFonts w:cs="Calibri"/>
          <w:lang w:val="sq-AL"/>
        </w:rPr>
        <w:t>-të</w:t>
      </w:r>
      <w:r w:rsidRPr="008D0C28">
        <w:rPr>
          <w:rFonts w:cs="Calibri"/>
          <w:lang w:val="sq-AL"/>
        </w:rPr>
        <w:t xml:space="preserve"> që vepron në zonën LFC mund të vendosë se cilin çmim ose çmime do të përdorë për përcaktimin e çmimit të tregut të ditës së mëparshme të zonës LFC</w:t>
      </w:r>
      <w:r w:rsidR="00B40A80">
        <w:rPr>
          <w:rFonts w:cs="Calibri"/>
          <w:lang w:val="sq-AL"/>
        </w:rPr>
        <w:t>;</w:t>
      </w:r>
    </w:p>
    <w:p w14:paraId="27A938BA" w14:textId="5B2571C0" w:rsidR="00FC7434" w:rsidRPr="008D0C28" w:rsidRDefault="00FC7434" w:rsidP="00702327">
      <w:pPr>
        <w:pStyle w:val="AAATEETE"/>
        <w:rPr>
          <w:rFonts w:cs="Calibri"/>
          <w:lang w:val="sq-AL"/>
        </w:rPr>
      </w:pPr>
      <w:r w:rsidRPr="008D0C28">
        <w:rPr>
          <w:rFonts w:cs="Calibri"/>
          <w:lang w:val="sq-AL"/>
        </w:rPr>
        <w:t>iii.</w:t>
      </w:r>
      <w:r w:rsidR="00702327" w:rsidRPr="008D0C28">
        <w:rPr>
          <w:rFonts w:cs="Calibri"/>
          <w:lang w:val="sq-AL"/>
        </w:rPr>
        <w:t xml:space="preserve"> </w:t>
      </w:r>
      <w:r w:rsidR="00B40A80"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 xml:space="preserve">ë rast se nuk ka një çmim të tregu të ditës së mëparshme në një </w:t>
      </w:r>
      <w:r w:rsidR="00FF6796">
        <w:rPr>
          <w:rFonts w:cs="Calibri"/>
          <w:lang w:val="sq-AL"/>
        </w:rPr>
        <w:t>bllok LFC-je</w:t>
      </w:r>
      <w:r w:rsidRPr="008D0C28">
        <w:rPr>
          <w:rFonts w:cs="Calibri"/>
          <w:lang w:val="sq-AL"/>
        </w:rPr>
        <w:t xml:space="preserve"> për atë periu</w:t>
      </w:r>
      <w:r w:rsidR="00EB624B">
        <w:rPr>
          <w:rFonts w:cs="Calibri"/>
          <w:lang w:val="sq-AL"/>
        </w:rPr>
        <w:t>dhë të caktuar të shlyerjes TSO–</w:t>
      </w:r>
      <w:r w:rsidRPr="008D0C28">
        <w:rPr>
          <w:rFonts w:cs="Calibri"/>
          <w:lang w:val="sq-AL"/>
        </w:rPr>
        <w:t xml:space="preserve">TSO, çmimi i shlyerjes së disbalancave për atë </w:t>
      </w:r>
      <w:r w:rsidR="00FF6796">
        <w:rPr>
          <w:rFonts w:cs="Calibri"/>
          <w:lang w:val="sq-AL"/>
        </w:rPr>
        <w:t>bllok LFC-je</w:t>
      </w:r>
      <w:r w:rsidRPr="008D0C28">
        <w:rPr>
          <w:rFonts w:cs="Calibri"/>
          <w:lang w:val="sq-AL"/>
        </w:rPr>
        <w:t xml:space="preserve"> për atë periudhë të caktuar të shlyerjes </w:t>
      </w:r>
      <w:r w:rsidR="008D0C28">
        <w:rPr>
          <w:rFonts w:cs="Calibri"/>
          <w:lang w:val="sq-AL"/>
        </w:rPr>
        <w:t>TSO–TSO</w:t>
      </w:r>
      <w:r w:rsidRPr="008D0C28">
        <w:rPr>
          <w:rFonts w:cs="Calibri"/>
          <w:lang w:val="sq-AL"/>
        </w:rPr>
        <w:t xml:space="preserve"> përdoret në </w:t>
      </w:r>
      <w:r w:rsidR="00937947"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>enin</w:t>
      </w:r>
      <w:r w:rsidR="00937947"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>8</w:t>
      </w:r>
      <w:r w:rsidR="00EB624B"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>(2)</w:t>
      </w:r>
      <w:r w:rsidR="00EB624B">
        <w:rPr>
          <w:rFonts w:cs="Calibri"/>
          <w:lang w:val="sq-AL"/>
        </w:rPr>
        <w:t xml:space="preserve"> </w:t>
      </w:r>
      <w:r w:rsidRPr="008D0C28">
        <w:rPr>
          <w:rFonts w:cs="Calibri"/>
          <w:lang w:val="sq-AL"/>
        </w:rPr>
        <w:t>(a) në vend të një çmimi të tregut për një ditë më parë. Në rastin e çmimeve të dyfishta, llogaritet një çmim mesatar</w:t>
      </w:r>
      <w:r w:rsidR="00B40A80">
        <w:rPr>
          <w:rFonts w:cs="Calibri"/>
          <w:lang w:val="sq-AL"/>
        </w:rPr>
        <w:t>;</w:t>
      </w:r>
      <w:r w:rsidRPr="008D0C28">
        <w:rPr>
          <w:rFonts w:cs="Calibri"/>
          <w:lang w:val="sq-AL"/>
        </w:rPr>
        <w:t xml:space="preserve"> </w:t>
      </w:r>
    </w:p>
    <w:p w14:paraId="21F1FDB5" w14:textId="476D7038" w:rsidR="00FC7434" w:rsidRPr="008D0C28" w:rsidRDefault="00FC7434" w:rsidP="00702327">
      <w:pPr>
        <w:pStyle w:val="AAATEETE"/>
        <w:rPr>
          <w:rFonts w:cs="Calibri"/>
          <w:lang w:val="sq-AL"/>
        </w:rPr>
      </w:pPr>
      <w:r w:rsidRPr="00C605D6">
        <w:rPr>
          <w:rFonts w:cs="Calibri"/>
          <w:lang w:val="sq-AL"/>
        </w:rPr>
        <w:t>b)</w:t>
      </w:r>
      <w:r w:rsidR="00702327" w:rsidRPr="008D0C28">
        <w:rPr>
          <w:rFonts w:cs="Calibri"/>
          <w:lang w:val="sq-AL"/>
        </w:rPr>
        <w:t xml:space="preserve"> </w:t>
      </w:r>
      <w:r w:rsidR="00B40A80">
        <w:rPr>
          <w:rFonts w:cs="Calibri"/>
          <w:lang w:val="sq-AL"/>
        </w:rPr>
        <w:t>n</w:t>
      </w:r>
      <w:r w:rsidRPr="008D0C28">
        <w:rPr>
          <w:rFonts w:cs="Calibri"/>
          <w:lang w:val="sq-AL"/>
        </w:rPr>
        <w:t xml:space="preserve">jë komponent i varur nga frekuenca, i zbatueshëm vetëm nëse vlera absolute e devijimit mesatar të frekuencës mbi periudhën e shlyerjes </w:t>
      </w:r>
      <w:r w:rsidR="008D0C28">
        <w:rPr>
          <w:rFonts w:cs="Calibri"/>
          <w:lang w:val="sq-AL"/>
        </w:rPr>
        <w:t>TSO–TSO</w:t>
      </w:r>
      <w:r w:rsidRPr="008D0C28">
        <w:rPr>
          <w:rFonts w:cs="Calibri"/>
          <w:lang w:val="sq-AL"/>
        </w:rPr>
        <w:t xml:space="preserve"> tejkalon vlerën absolute të vlerës minimale të pragut (20 mHz). Komponenti i varur nga frekuenca llogaritet si funksion i devijimit mesatar të frekuencës për secilën periudhë të shlyerjes </w:t>
      </w:r>
      <w:r w:rsidR="008D0C28">
        <w:rPr>
          <w:rFonts w:cs="Calibri"/>
          <w:lang w:val="sq-AL"/>
        </w:rPr>
        <w:t>TSO–TSO</w:t>
      </w:r>
      <w:r w:rsidRPr="008D0C28">
        <w:rPr>
          <w:rFonts w:cs="Calibri"/>
          <w:lang w:val="sq-AL"/>
        </w:rPr>
        <w:t xml:space="preserve">, duke përdorur një gradient </w:t>
      </w:r>
      <w:r w:rsidRPr="008D0C28">
        <w:rPr>
          <w:rFonts w:cs="Calibri"/>
          <w:lang w:val="sq-AL"/>
        </w:rPr>
        <w:lastRenderedPageBreak/>
        <w:t>ndërmjet kufirit minimal dhe pragut maksimal (dy (2) EUR/</w:t>
      </w:r>
      <w:r w:rsidR="00EB624B" w:rsidRPr="008D0C28">
        <w:rPr>
          <w:rFonts w:cs="Calibri"/>
          <w:lang w:val="sq-AL"/>
        </w:rPr>
        <w:t>mw</w:t>
      </w:r>
      <w:r w:rsidRPr="008D0C28">
        <w:rPr>
          <w:rFonts w:cs="Calibri"/>
          <w:lang w:val="sq-AL"/>
        </w:rPr>
        <w:t>h/mHz). Do të zbatohen rregullat e mëposhtme:</w:t>
      </w:r>
    </w:p>
    <w:p w14:paraId="5B9EBCD4" w14:textId="2CB34871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i.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v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lera absolute e vlerës minimale të pragut është 20 mHz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3BEF411" w14:textId="1F87A10F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ii.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v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lera absolute e vlerës maksimale të pragut është 100 mHz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FA63552" w14:textId="63E8C9D3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iii.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gra</w:t>
      </w:r>
      <w:r w:rsidR="00402BBA">
        <w:rPr>
          <w:rFonts w:ascii="Garamond" w:hAnsi="Garamond" w:cs="Calibri"/>
          <w:color w:val="000000"/>
          <w:sz w:val="24"/>
          <w:szCs w:val="24"/>
          <w:lang w:val="sq-AL"/>
        </w:rPr>
        <w:t>dienti është dy (2) EUR/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mwh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/mHz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26588274" w14:textId="464EDFE6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iv.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ë rast të një devijimi mesatar pozitiv të frekuencës që tejkalon vlerën minimale të pragut në drejtim pozitiv (+20 mHz), por që nuk tejkalon vlerën maksimale të pragut në drejtim pozitiv (+100 mHz), ky funksion zbatohet për devijimin mesatar të frekuencës të zvogëluar me vlerën absolute të vlerës minimale të pragut (20 mHz)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2C9152C4" w14:textId="4AE83706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v.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ë rast të një devijimi mesatar negativ të frekuencës që tejkalon vlerën minimale të pragut në drejtim negativ (-20 mHz), por që nuk tejkalon vlerën maksimale të pragut në drejtim negativ (- 100 mHz), ky funksion aplikohet në devijimin e frekuencës të rritur me vlerën absolute të vlerës minimale të pragut (20 mHz)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5E20ECA3" w14:textId="01A7B2D9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vi.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ë rastin e një devijimi mesatar pozitiv të frekuencës që tejkalon pragun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 xml:space="preserve"> maksimal në drejtim pozitiv (+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100 mHz), komponenti i varur nga frekuenca vendoset si komponent i varur nga frekuenca e llogaritur në një devijim të frekuencës së vlerës maksimale </w:t>
      </w:r>
      <w:r w:rsidR="00EB624B">
        <w:rPr>
          <w:rFonts w:ascii="Garamond" w:hAnsi="Garamond" w:cs="Calibri"/>
          <w:color w:val="000000"/>
          <w:sz w:val="24"/>
          <w:szCs w:val="24"/>
          <w:lang w:val="sq-AL"/>
        </w:rPr>
        <w:t>të pragut në drejtim pozitiv (+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100 mHz)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30231556" w14:textId="36280FAF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vii.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ë rastin e një devijimi negativ të frekuencës që tejkalon pragun maksimal në drejtim negativ (-100 mHz), komponenti i varur nga frekuenca përcaktohet si komponent i varur nga frekuenca e llogaritur në një devijim të frekuencës së vlerës së pragut maksima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>l në drejtim negativ (-100 mHz);</w:t>
      </w:r>
    </w:p>
    <w:p w14:paraId="4CF66234" w14:textId="4D8E7706" w:rsidR="00FC7434" w:rsidRPr="008D0C28" w:rsidRDefault="00FC7434" w:rsidP="00FC7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viii.</w:t>
      </w:r>
      <w:r w:rsidR="00702327" w:rsidRPr="008D0C2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37947" w:rsidRPr="008D0C28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ë rastin e një sistemi HVDC që lidh dy TSO</w:t>
      </w:r>
      <w:r w:rsidR="00B520A6">
        <w:rPr>
          <w:rFonts w:ascii="Garamond" w:hAnsi="Garamond" w:cs="Calibri"/>
          <w:color w:val="000000"/>
          <w:sz w:val="24"/>
          <w:szCs w:val="24"/>
          <w:lang w:val="sq-AL"/>
        </w:rPr>
        <w:t>-të</w:t>
      </w:r>
      <w:r w:rsidR="00937947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Calibri"/>
          <w:color w:val="000000"/>
          <w:sz w:val="24"/>
          <w:szCs w:val="24"/>
          <w:lang w:val="sq-AL"/>
        </w:rPr>
        <w:t>SA CE, komponenti i varur nga frekuenca mund të mos jetë i zbatueshëm.</w:t>
      </w:r>
    </w:p>
    <w:p w14:paraId="23223631" w14:textId="2F57D8DC" w:rsidR="00FC7434" w:rsidRPr="008D0C28" w:rsidRDefault="008D0C28" w:rsidP="00702327">
      <w:pPr>
        <w:pStyle w:val="AAATEETE"/>
        <w:rPr>
          <w:lang w:val="sq-AL"/>
        </w:rPr>
      </w:pPr>
      <w:r>
        <w:rPr>
          <w:lang w:val="sq-AL"/>
        </w:rPr>
        <w:t>3.</w:t>
      </w:r>
      <w:r w:rsidR="00702327" w:rsidRPr="008D0C28">
        <w:rPr>
          <w:lang w:val="sq-AL"/>
        </w:rPr>
        <w:t xml:space="preserve"> </w:t>
      </w:r>
      <w:r w:rsidR="00FC7434" w:rsidRPr="008D0C28">
        <w:rPr>
          <w:lang w:val="sq-AL"/>
        </w:rPr>
        <w:t xml:space="preserve">Në rast se një ndarje të rrjetit me më shumë se një </w:t>
      </w:r>
      <w:r w:rsidR="00FF6796">
        <w:rPr>
          <w:lang w:val="sq-AL"/>
        </w:rPr>
        <w:t>bllok LFC-je</w:t>
      </w:r>
      <w:r w:rsidR="00FC7434" w:rsidRPr="008D0C28">
        <w:rPr>
          <w:lang w:val="sq-AL"/>
        </w:rPr>
        <w:t xml:space="preserve"> shkëputet, komponenti i varur nga frekuenca përcaktohet për çdo periudhë shlyerje </w:t>
      </w:r>
      <w:r>
        <w:rPr>
          <w:lang w:val="sq-AL"/>
        </w:rPr>
        <w:t>TSO–TSO</w:t>
      </w:r>
      <w:r w:rsidR="00FC7434" w:rsidRPr="008D0C28">
        <w:rPr>
          <w:lang w:val="sq-AL"/>
        </w:rPr>
        <w:t xml:space="preserve"> gjatë asaj ndarje në zero (0) EUR/</w:t>
      </w:r>
      <w:r w:rsidR="00EB624B" w:rsidRPr="008D0C28">
        <w:rPr>
          <w:lang w:val="sq-AL"/>
        </w:rPr>
        <w:t>mw</w:t>
      </w:r>
      <w:r w:rsidR="00FC7434" w:rsidRPr="008D0C28">
        <w:rPr>
          <w:lang w:val="sq-AL"/>
        </w:rPr>
        <w:t>h/mHz për periudhën e shlyerjes TSO-TSO.</w:t>
      </w:r>
    </w:p>
    <w:p w14:paraId="7285AC59" w14:textId="77777777" w:rsidR="00FC7434" w:rsidRPr="008D0C28" w:rsidRDefault="00FC7434" w:rsidP="00702327">
      <w:pPr>
        <w:pStyle w:val="AAATEETE"/>
        <w:rPr>
          <w:lang w:val="sq-AL"/>
        </w:rPr>
      </w:pPr>
    </w:p>
    <w:p w14:paraId="0D31B52A" w14:textId="77777777" w:rsidR="00FC7434" w:rsidRPr="008D0C28" w:rsidRDefault="00FC7434" w:rsidP="00702327">
      <w:pPr>
        <w:pStyle w:val="AAATEETE"/>
        <w:jc w:val="center"/>
        <w:rPr>
          <w:rFonts w:cs="Cambria"/>
          <w:bCs/>
          <w:lang w:val="sq-AL"/>
        </w:rPr>
      </w:pPr>
      <w:r w:rsidRPr="008D0C28">
        <w:rPr>
          <w:rFonts w:cs="Cambria"/>
          <w:bCs/>
          <w:lang w:val="sq-AL"/>
        </w:rPr>
        <w:t>Neni 9</w:t>
      </w:r>
    </w:p>
    <w:p w14:paraId="46FFD636" w14:textId="77777777" w:rsidR="00FC7434" w:rsidRPr="008D0C28" w:rsidRDefault="00FC7434" w:rsidP="00702327">
      <w:pPr>
        <w:pStyle w:val="AAATEETE"/>
        <w:jc w:val="center"/>
        <w:rPr>
          <w:rFonts w:cs="Cambria"/>
          <w:b/>
          <w:bCs/>
          <w:lang w:val="sq-AL"/>
        </w:rPr>
      </w:pPr>
      <w:r w:rsidRPr="008D0C28">
        <w:rPr>
          <w:rFonts w:cs="Cambria"/>
          <w:b/>
          <w:bCs/>
          <w:lang w:val="sq-AL"/>
        </w:rPr>
        <w:t>Botimi dhe zbatimi i CCFR</w:t>
      </w:r>
    </w:p>
    <w:p w14:paraId="5FC9BA2B" w14:textId="77777777" w:rsidR="00FC7434" w:rsidRPr="008D0C28" w:rsidRDefault="00FC7434" w:rsidP="00702327">
      <w:pPr>
        <w:pStyle w:val="AAATEETE"/>
        <w:rPr>
          <w:rFonts w:cs="Cambria"/>
          <w:lang w:val="sq-AL"/>
        </w:rPr>
      </w:pPr>
    </w:p>
    <w:p w14:paraId="58F7FAAE" w14:textId="17632DF8" w:rsidR="00FC7434" w:rsidRPr="008D0C28" w:rsidRDefault="008D0C28" w:rsidP="00702327">
      <w:pPr>
        <w:pStyle w:val="AAATEETE"/>
        <w:rPr>
          <w:lang w:val="sq-AL"/>
        </w:rPr>
      </w:pPr>
      <w:r>
        <w:rPr>
          <w:lang w:val="sq-AL"/>
        </w:rPr>
        <w:t>1.</w:t>
      </w:r>
      <w:r w:rsidR="00702327" w:rsidRPr="008D0C28">
        <w:rPr>
          <w:lang w:val="sq-AL"/>
        </w:rPr>
        <w:t xml:space="preserve"> </w:t>
      </w:r>
      <w:r w:rsidR="00FC7434" w:rsidRPr="008D0C28">
        <w:rPr>
          <w:lang w:val="sq-AL"/>
        </w:rPr>
        <w:t>Të gjithë TSO-të e SA CE do të publikojnë CCFR</w:t>
      </w:r>
      <w:r w:rsidR="00937947">
        <w:rPr>
          <w:lang w:val="sq-AL"/>
        </w:rPr>
        <w:t>-në</w:t>
      </w:r>
      <w:r w:rsidR="00FC7434" w:rsidRPr="008D0C28">
        <w:rPr>
          <w:lang w:val="sq-AL"/>
        </w:rPr>
        <w:t xml:space="preserve"> pa vonesa të panevojshme pasi të gjitha autoritetet rregullatore relevante të SA CE të kenë miratuar CCFR e propozuar ose është marrë një vendim nga ACER</w:t>
      </w:r>
      <w:r w:rsidR="00937947">
        <w:rPr>
          <w:lang w:val="sq-AL"/>
        </w:rPr>
        <w:t>-i,</w:t>
      </w:r>
      <w:r w:rsidR="00FC7434" w:rsidRPr="008D0C28">
        <w:rPr>
          <w:lang w:val="sq-AL"/>
        </w:rPr>
        <w:t xml:space="preserve"> në përputhje me </w:t>
      </w:r>
      <w:r>
        <w:rPr>
          <w:lang w:val="sq-AL"/>
        </w:rPr>
        <w:t>n</w:t>
      </w:r>
      <w:r w:rsidR="00FC7434" w:rsidRPr="008D0C28">
        <w:rPr>
          <w:lang w:val="sq-AL"/>
        </w:rPr>
        <w:t>enet 5 (7), 6 (1) dhe 6 (2) të EBGL</w:t>
      </w:r>
      <w:r w:rsidR="00937947">
        <w:rPr>
          <w:lang w:val="sq-AL"/>
        </w:rPr>
        <w:t>-së</w:t>
      </w:r>
      <w:r w:rsidR="00EB624B">
        <w:rPr>
          <w:lang w:val="sq-AL"/>
        </w:rPr>
        <w:t>.</w:t>
      </w:r>
    </w:p>
    <w:p w14:paraId="3C58D71A" w14:textId="491F3291" w:rsidR="00FC7434" w:rsidRPr="008D0C28" w:rsidRDefault="008D0C28" w:rsidP="00702327">
      <w:pPr>
        <w:pStyle w:val="AAATEETE"/>
        <w:rPr>
          <w:lang w:val="sq-AL"/>
        </w:rPr>
      </w:pPr>
      <w:r>
        <w:rPr>
          <w:lang w:val="sq-AL"/>
        </w:rPr>
        <w:t>2.</w:t>
      </w:r>
      <w:r w:rsidR="00702327" w:rsidRPr="008D0C28">
        <w:rPr>
          <w:lang w:val="sq-AL"/>
        </w:rPr>
        <w:t xml:space="preserve"> </w:t>
      </w:r>
      <w:r w:rsidR="00FC7434" w:rsidRPr="008D0C28">
        <w:rPr>
          <w:lang w:val="sq-AL"/>
        </w:rPr>
        <w:t>Të gjitha TSO-të e SA CE duhet të zbatojnë CCFR</w:t>
      </w:r>
      <w:r w:rsidR="00937947">
        <w:rPr>
          <w:lang w:val="sq-AL"/>
        </w:rPr>
        <w:t>-në</w:t>
      </w:r>
      <w:r w:rsidR="00FC7434" w:rsidRPr="008D0C28">
        <w:rPr>
          <w:lang w:val="sq-AL"/>
        </w:rPr>
        <w:t xml:space="preserve"> në përputhje me </w:t>
      </w:r>
      <w:r w:rsidR="00937947" w:rsidRPr="008D0C28">
        <w:rPr>
          <w:lang w:val="sq-AL"/>
        </w:rPr>
        <w:t>n</w:t>
      </w:r>
      <w:r w:rsidR="00FC7434" w:rsidRPr="008D0C28">
        <w:rPr>
          <w:lang w:val="sq-AL"/>
        </w:rPr>
        <w:t>enin 4 të kësaj CCFR</w:t>
      </w:r>
      <w:r w:rsidR="00937947">
        <w:rPr>
          <w:lang w:val="sq-AL"/>
        </w:rPr>
        <w:t>-në</w:t>
      </w:r>
      <w:r w:rsidR="00FC7434" w:rsidRPr="008D0C28">
        <w:rPr>
          <w:lang w:val="sq-AL"/>
        </w:rPr>
        <w:t>.</w:t>
      </w:r>
    </w:p>
    <w:p w14:paraId="3740DDE2" w14:textId="77777777" w:rsidR="00FC7434" w:rsidRPr="008D0C28" w:rsidRDefault="00FC7434" w:rsidP="00702327">
      <w:pPr>
        <w:pStyle w:val="AAATEETE"/>
        <w:rPr>
          <w:rFonts w:cs="Cambria"/>
          <w:b/>
          <w:bCs/>
          <w:lang w:val="sq-AL"/>
        </w:rPr>
      </w:pPr>
    </w:p>
    <w:p w14:paraId="4E8CEDFC" w14:textId="77777777" w:rsidR="00FC7434" w:rsidRPr="008D0C28" w:rsidRDefault="00FC7434" w:rsidP="00702327">
      <w:pPr>
        <w:pStyle w:val="AAATEETE"/>
        <w:jc w:val="center"/>
        <w:rPr>
          <w:rFonts w:cs="Cambria"/>
          <w:bCs/>
          <w:lang w:val="sq-AL"/>
        </w:rPr>
      </w:pPr>
      <w:r w:rsidRPr="008D0C28">
        <w:rPr>
          <w:rFonts w:cs="Cambria"/>
          <w:bCs/>
          <w:lang w:val="sq-AL"/>
        </w:rPr>
        <w:t>Neni 10</w:t>
      </w:r>
    </w:p>
    <w:p w14:paraId="0F92AFF2" w14:textId="77777777" w:rsidR="00FC7434" w:rsidRPr="008D0C28" w:rsidRDefault="00FC7434" w:rsidP="00702327">
      <w:pPr>
        <w:pStyle w:val="AAATEETE"/>
        <w:jc w:val="center"/>
        <w:rPr>
          <w:rFonts w:cs="Cambria"/>
          <w:b/>
          <w:bCs/>
          <w:lang w:val="sq-AL"/>
        </w:rPr>
      </w:pPr>
      <w:r w:rsidRPr="008D0C28">
        <w:rPr>
          <w:rFonts w:cs="Cambria"/>
          <w:b/>
          <w:bCs/>
          <w:lang w:val="sq-AL"/>
        </w:rPr>
        <w:t>Gjuha</w:t>
      </w:r>
    </w:p>
    <w:p w14:paraId="097490C3" w14:textId="77777777" w:rsidR="00FC7434" w:rsidRPr="008D0C28" w:rsidRDefault="00FC7434" w:rsidP="00702327">
      <w:pPr>
        <w:pStyle w:val="AAATEETE"/>
        <w:rPr>
          <w:lang w:val="sq-AL"/>
        </w:rPr>
      </w:pPr>
    </w:p>
    <w:p w14:paraId="57E24502" w14:textId="0AD64445" w:rsidR="00FC7434" w:rsidRPr="008D0C28" w:rsidRDefault="00FC7434" w:rsidP="00702327">
      <w:pPr>
        <w:pStyle w:val="AAATEETE"/>
        <w:rPr>
          <w:lang w:val="sq-AL"/>
        </w:rPr>
      </w:pPr>
      <w:r w:rsidRPr="008D0C28">
        <w:rPr>
          <w:lang w:val="sq-AL"/>
        </w:rPr>
        <w:t>Gjuha e referencës për këtë propozim do të jetë gjuha angleze. Për shmangien e dyshimit, kur TSO-të duhet të përkthejnë këtë propozim në gjuhën e tyre kombëtare, në rast të mospërputhjeve midis versionit anglisht të botuar nga TSO-të</w:t>
      </w:r>
      <w:r w:rsidR="00EB624B">
        <w:rPr>
          <w:lang w:val="sq-AL"/>
        </w:rPr>
        <w:t>,</w:t>
      </w:r>
      <w:r w:rsidRPr="008D0C28">
        <w:rPr>
          <w:lang w:val="sq-AL"/>
        </w:rPr>
        <w:t xml:space="preserve"> në përputhje me </w:t>
      </w:r>
      <w:r w:rsidR="00937947" w:rsidRPr="008D0C28">
        <w:rPr>
          <w:lang w:val="sq-AL"/>
        </w:rPr>
        <w:t>n</w:t>
      </w:r>
      <w:r w:rsidRPr="008D0C28">
        <w:rPr>
          <w:lang w:val="sq-AL"/>
        </w:rPr>
        <w:t>enin 7 të EBGL</w:t>
      </w:r>
      <w:r w:rsidR="00937947">
        <w:rPr>
          <w:lang w:val="sq-AL"/>
        </w:rPr>
        <w:t>-së</w:t>
      </w:r>
      <w:r w:rsidR="00EB624B">
        <w:rPr>
          <w:lang w:val="sq-AL"/>
        </w:rPr>
        <w:t>,</w:t>
      </w:r>
      <w:r w:rsidRPr="008D0C28">
        <w:rPr>
          <w:lang w:val="sq-AL"/>
        </w:rPr>
        <w:t xml:space="preserve"> dhe çdo versioni në një gjuhë tjetër, TSO-të, në përputhje me legjislacionin kombëtar, do t’u sigurojnë autoriteteve përkatëse kombëtare rregullatore një përkthim të përditësuar të propozimit.</w:t>
      </w:r>
    </w:p>
    <w:p w14:paraId="1E7E3219" w14:textId="77777777" w:rsidR="00FC7434" w:rsidRPr="008D0C28" w:rsidRDefault="00FC7434" w:rsidP="00702327">
      <w:pPr>
        <w:pStyle w:val="AAATEETE"/>
        <w:rPr>
          <w:lang w:val="sq-AL"/>
        </w:rPr>
      </w:pPr>
    </w:p>
    <w:p w14:paraId="08FE9381" w14:textId="77777777" w:rsidR="00FC7434" w:rsidRPr="008D0C28" w:rsidRDefault="00FC7434" w:rsidP="00843EFE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9AEEC5" w14:textId="77777777" w:rsidR="00C605D6" w:rsidRDefault="00C605D6" w:rsidP="00843EFE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CC6EE47" w14:textId="77777777" w:rsidR="00C605D6" w:rsidRDefault="00C605D6" w:rsidP="00843EFE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1819882" w14:textId="4EF82ECF" w:rsidR="00057BF9" w:rsidRPr="008D0C28" w:rsidRDefault="00057BF9" w:rsidP="00843EFE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>Të gjitha propozimet e TSO-ve</w:t>
      </w:r>
      <w:r w:rsidR="00203DF1"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kontinentale evropiane për rregullat e shlyerjeve të përbashkëta</w:t>
      </w:r>
      <w:r w:rsidR="002A31FA"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të gjit</w:t>
      </w:r>
      <w:r w:rsidR="002A31FA"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ha shkëmbimet e energjisë të pa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qëllimshme</w:t>
      </w:r>
      <w:r w:rsidR="002A31FA"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përputhje me </w:t>
      </w:r>
      <w:r w:rsidR="002A31FA"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enin 51 (1)</w:t>
      </w:r>
      <w:r w:rsidR="002A31FA"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</w:t>
      </w:r>
      <w:r w:rsidR="00EB624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regullores së Komisionit (BE) 2017/2195</w:t>
      </w:r>
      <w:r w:rsidR="002A31FA"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23 nëntorit 2017</w:t>
      </w:r>
      <w:r w:rsidR="002A31FA"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krijimin e një udhëzuesi mbi balancimin e energjisë elektrike</w:t>
      </w:r>
    </w:p>
    <w:p w14:paraId="186D9792" w14:textId="77777777" w:rsidR="00843EFE" w:rsidRPr="008D0C28" w:rsidRDefault="00843EFE" w:rsidP="00843EFE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C47DC8" w14:textId="1E025F94" w:rsidR="00057BF9" w:rsidRPr="008D0C28" w:rsidRDefault="00057BF9" w:rsidP="00843EFE">
      <w:pPr>
        <w:tabs>
          <w:tab w:val="left" w:pos="952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9 </w:t>
      </w:r>
      <w:r w:rsidR="002A31FA" w:rsidRPr="008D0C2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m</w:t>
      </w:r>
      <w:r w:rsidRPr="008D0C2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aj 2019</w:t>
      </w:r>
    </w:p>
    <w:p w14:paraId="076C5B92" w14:textId="77777777" w:rsidR="00057BF9" w:rsidRPr="008D0C28" w:rsidRDefault="00057BF9" w:rsidP="00843EFE">
      <w:pPr>
        <w:pStyle w:val="AAATEETE"/>
        <w:rPr>
          <w:color w:val="auto"/>
          <w:lang w:val="sq-AL"/>
        </w:rPr>
      </w:pPr>
    </w:p>
    <w:p w14:paraId="6301B14D" w14:textId="77777777" w:rsidR="00057BF9" w:rsidRPr="00EB624B" w:rsidRDefault="00057BF9" w:rsidP="00843EFE">
      <w:pPr>
        <w:pStyle w:val="AAATEETE"/>
        <w:rPr>
          <w:bCs/>
          <w:color w:val="auto"/>
          <w:lang w:val="sq-AL"/>
        </w:rPr>
      </w:pPr>
      <w:r w:rsidRPr="00EB624B">
        <w:rPr>
          <w:bCs/>
          <w:color w:val="auto"/>
          <w:lang w:val="sq-AL"/>
        </w:rPr>
        <w:t>Përmbajtja</w:t>
      </w:r>
    </w:p>
    <w:p w14:paraId="52FBB8D4" w14:textId="5CA41948" w:rsidR="00057BF9" w:rsidRPr="008D0C28" w:rsidRDefault="00057BF9" w:rsidP="00843EFE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Parathënie</w:t>
      </w:r>
      <w:r w:rsidR="00843EFE" w:rsidRPr="008D0C28">
        <w:rPr>
          <w:rFonts w:cs="Calibri"/>
          <w:color w:val="auto"/>
          <w:lang w:val="sq-AL"/>
        </w:rPr>
        <w:t xml:space="preserve"> </w:t>
      </w:r>
    </w:p>
    <w:p w14:paraId="1DEE7F66" w14:textId="013EE9AE" w:rsidR="00057BF9" w:rsidRPr="008D0C28" w:rsidRDefault="00057BF9" w:rsidP="00843EFE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Shkurtime</w:t>
      </w:r>
      <w:r w:rsidR="00843EFE" w:rsidRPr="008D0C28">
        <w:rPr>
          <w:rFonts w:cs="Calibri"/>
          <w:color w:val="auto"/>
          <w:lang w:val="sq-AL"/>
        </w:rPr>
        <w:t xml:space="preserve"> </w:t>
      </w:r>
    </w:p>
    <w:p w14:paraId="619A327C" w14:textId="139F83DB" w:rsidR="00057BF9" w:rsidRPr="008D0C28" w:rsidRDefault="00057BF9" w:rsidP="00843EFE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1</w:t>
      </w:r>
      <w:r w:rsidR="008D0C28"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Objekti dhe qëllimi</w:t>
      </w:r>
    </w:p>
    <w:p w14:paraId="738FB55B" w14:textId="69922CF7" w:rsidR="00057BF9" w:rsidRPr="008D0C28" w:rsidRDefault="00057BF9" w:rsidP="00843EFE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2</w:t>
      </w:r>
      <w:r w:rsidR="008D0C28"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Përkufizime dhe interpretime</w:t>
      </w:r>
    </w:p>
    <w:p w14:paraId="6B2D5CFE" w14:textId="27D3F9B7" w:rsidR="00057BF9" w:rsidRPr="008D0C28" w:rsidRDefault="00057BF9" w:rsidP="00843EFE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3</w:t>
      </w:r>
      <w:r w:rsidR="008D0C28"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Projekti i nivelit të lartë për zgjidhjen e përbashkët</w:t>
      </w:r>
    </w:p>
    <w:p w14:paraId="46555CB5" w14:textId="0A1FB03C" w:rsidR="00057BF9" w:rsidRPr="008D0C28" w:rsidRDefault="00057BF9" w:rsidP="00843EFE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4</w:t>
      </w:r>
      <w:r w:rsidR="008D0C28"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Zbatimi i zgjidhjes së përbashkët</w:t>
      </w:r>
    </w:p>
    <w:p w14:paraId="53D25CE6" w14:textId="7CB89D99" w:rsidR="00057BF9" w:rsidRPr="008D0C28" w:rsidRDefault="00057BF9" w:rsidP="00843EFE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5</w:t>
      </w:r>
      <w:r w:rsidR="008D0C28"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Funksionet e shlyerjes së përbashkët</w:t>
      </w:r>
    </w:p>
    <w:p w14:paraId="4842D8E4" w14:textId="5182F270" w:rsidR="00057BF9" w:rsidRPr="008D0C28" w:rsidRDefault="00057BF9" w:rsidP="00843EFE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6</w:t>
      </w:r>
      <w:r w:rsidR="008D0C28"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Periudha e shlyerjes</w:t>
      </w:r>
    </w:p>
    <w:p w14:paraId="47878DE7" w14:textId="279B9645" w:rsidR="00057BF9" w:rsidRPr="008D0C28" w:rsidRDefault="00057BF9" w:rsidP="00843EFE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7</w:t>
      </w:r>
      <w:r w:rsidR="008D0C28"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Përcaktimi i volumit për periudhë</w:t>
      </w:r>
      <w:r w:rsidR="00246FDC" w:rsidRPr="008D0C28">
        <w:rPr>
          <w:color w:val="auto"/>
          <w:lang w:val="sq-AL"/>
        </w:rPr>
        <w:t>n e shlyerjes TSO–</w:t>
      </w:r>
      <w:r w:rsidRPr="008D0C28">
        <w:rPr>
          <w:color w:val="auto"/>
          <w:lang w:val="sq-AL"/>
        </w:rPr>
        <w:t>TSO</w:t>
      </w:r>
      <w:r w:rsidR="00843EFE" w:rsidRPr="008D0C28">
        <w:rPr>
          <w:rFonts w:cs="Calibri"/>
          <w:color w:val="auto"/>
          <w:lang w:val="sq-AL"/>
        </w:rPr>
        <w:t xml:space="preserve"> </w:t>
      </w:r>
    </w:p>
    <w:p w14:paraId="365BA00D" w14:textId="16E097E8" w:rsidR="00057BF9" w:rsidRPr="008D0C28" w:rsidRDefault="00057BF9" w:rsidP="00843EFE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8</w:t>
      </w:r>
      <w:r w:rsidR="008D0C28"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Rregullat</w:t>
      </w:r>
      <w:r w:rsidR="00246FDC" w:rsidRPr="008D0C28">
        <w:rPr>
          <w:color w:val="auto"/>
          <w:lang w:val="sq-AL"/>
        </w:rPr>
        <w:t xml:space="preserve"> e tarifimit për shkëmbimet TSO–</w:t>
      </w:r>
      <w:r w:rsidRPr="008D0C28">
        <w:rPr>
          <w:color w:val="auto"/>
          <w:lang w:val="sq-AL"/>
        </w:rPr>
        <w:t>TSO brenda SA CE</w:t>
      </w:r>
    </w:p>
    <w:p w14:paraId="7417D0FC" w14:textId="413053A8" w:rsidR="00057BF9" w:rsidRPr="008D0C28" w:rsidRDefault="00057BF9" w:rsidP="00843EFE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9</w:t>
      </w:r>
      <w:r w:rsidR="008D0C28"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Botimi dhe zbatimi i CCU</w:t>
      </w:r>
      <w:r w:rsidR="00843EFE" w:rsidRPr="008D0C28">
        <w:rPr>
          <w:rFonts w:cs="Calibri"/>
          <w:color w:val="auto"/>
          <w:lang w:val="sq-AL"/>
        </w:rPr>
        <w:t xml:space="preserve"> </w:t>
      </w:r>
    </w:p>
    <w:p w14:paraId="50B95193" w14:textId="76062C98" w:rsidR="00057BF9" w:rsidRPr="008D0C28" w:rsidRDefault="00057BF9" w:rsidP="00843EFE">
      <w:pPr>
        <w:pStyle w:val="AAATEETE"/>
        <w:rPr>
          <w:rFonts w:cs="Calibri"/>
          <w:color w:val="auto"/>
          <w:lang w:val="sq-AL"/>
        </w:rPr>
      </w:pPr>
      <w:r w:rsidRPr="008D0C28">
        <w:rPr>
          <w:color w:val="auto"/>
          <w:lang w:val="sq-AL"/>
        </w:rPr>
        <w:t>Neni 10</w:t>
      </w:r>
      <w:r w:rsidR="008D0C28">
        <w:rPr>
          <w:color w:val="auto"/>
          <w:lang w:val="sq-AL"/>
        </w:rPr>
        <w:t>:</w:t>
      </w:r>
      <w:r w:rsidRPr="008D0C28">
        <w:rPr>
          <w:color w:val="auto"/>
          <w:lang w:val="sq-AL"/>
        </w:rPr>
        <w:t xml:space="preserve"> Gjuha</w:t>
      </w:r>
      <w:r w:rsidR="00843EFE" w:rsidRPr="008D0C28">
        <w:rPr>
          <w:rFonts w:cs="Calibri"/>
          <w:color w:val="auto"/>
          <w:lang w:val="sq-AL"/>
        </w:rPr>
        <w:t xml:space="preserve"> </w:t>
      </w:r>
    </w:p>
    <w:p w14:paraId="4877CF89" w14:textId="77777777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7619C67" w14:textId="6549163C" w:rsidR="00057BF9" w:rsidRPr="008D0C28" w:rsidRDefault="00246FDC" w:rsidP="00765D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gjitha </w:t>
      </w:r>
      <w:r w:rsidR="00057BF9"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TSO-të 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Evropës Kontinentale</w:t>
      </w:r>
      <w:r w:rsidR="00057BF9"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</w:t>
      </w:r>
      <w:r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marrin në konsideratë sa më poshtë vijon</w:t>
      </w:r>
      <w:r w:rsidR="00057BF9" w:rsidRPr="008D0C2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</w:p>
    <w:p w14:paraId="2231E695" w14:textId="77777777" w:rsidR="00843EFE" w:rsidRPr="008D0C28" w:rsidRDefault="00843EFE" w:rsidP="00843EFE">
      <w:pPr>
        <w:pStyle w:val="AAATEETE"/>
        <w:rPr>
          <w:lang w:val="sq-AL"/>
        </w:rPr>
      </w:pPr>
    </w:p>
    <w:p w14:paraId="36B9E8E5" w14:textId="6F679F6B" w:rsidR="00057BF9" w:rsidRPr="008D0C28" w:rsidRDefault="00057BF9" w:rsidP="00843EFE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Parathënie</w:t>
      </w:r>
    </w:p>
    <w:p w14:paraId="15286BFD" w14:textId="77777777" w:rsidR="00057BF9" w:rsidRPr="008D0C28" w:rsidRDefault="00057BF9" w:rsidP="00843EFE">
      <w:pPr>
        <w:pStyle w:val="AAATEETE"/>
        <w:rPr>
          <w:lang w:val="sq-AL"/>
        </w:rPr>
      </w:pPr>
    </w:p>
    <w:p w14:paraId="4AC397BC" w14:textId="1CE4C662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Ky dokument është një propozim i përbashkët i zhvilluar nga të gjithë Operatorët e Sistemit të Transmisionit në Zonën Sinkronike të Evropës Kontinentale (në vijim referuar si “TSO-të e CE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”) në lidhje me zhvillimin e rregullave të përbashkëta të shlyerjes për të gjitha shkëmbimet e energjisë të paqëllimshme (në tekstin e mëposhtëm “shkëmbime të paqëllimshme”) në përputhje me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nenin 51 (1) të rregullores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së Komisionit (BE) 2017/2195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23 nëntorit 2017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krijimin e një udhëzuesi mbi balancimin e energjisë elektrike (në tekstin e mëposhtëm “</w:t>
      </w:r>
      <w:r w:rsidRPr="008D0C2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EBGL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”). Ky propozim më poshtë quhet “</w:t>
      </w:r>
      <w:r w:rsidRPr="008D0C2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CCU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”, i cili nënkupton ‘rregullat e përbashkëta të shlyerjes për Evropën Kontinentale për të gjitha shkëmbimet e paqëllimshme të energjisë’</w:t>
      </w:r>
    </w:p>
    <w:p w14:paraId="4CA0E46F" w14:textId="47855A75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>jo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CCU merr parasysh parimet dhe qëllimet e përgjithshme të përcaktuara në EBGL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Rregulloren (EC)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714/2009 të Parlamentit Evropian dhe të Këshillit</w:t>
      </w:r>
      <w:r w:rsid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datës 13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orrik 2009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kushtet e aksesit në rrjet për shkëmbimet ndër-kufitare të energjisë elektrike (më poshtë</w:t>
      </w:r>
      <w:r w:rsidR="00203DF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57BF9" w:rsidRPr="008D0C2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Rregullorja për Energjinë Elektrike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”)</w:t>
      </w:r>
      <w:r w:rsidR="00402B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Rregullorja (KE)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2017/1485</w:t>
      </w:r>
      <w:r w:rsid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datës 2 gusht 2017</w:t>
      </w:r>
      <w:r w:rsid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krijimin e një udhëzuesi mbi operimin e sistemit të transmetimit të energjisë elektrike (më poshtë referuar si “</w:t>
      </w:r>
      <w:r w:rsidR="00057BF9" w:rsidRPr="008D0C2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SOGL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”). Qëllimi i EBGL</w:t>
      </w:r>
      <w:r w:rsidR="00B40A80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integrimi i tregjeve të balancimit të energjisë. Integrimi i tregjeve të balancimit të energjisë duhet të lehtësohet me krijimin e platformave të përbashkëta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vropiane për operimin e procesit të netimit të disbalancave dhe mundësimin e shkëmbimit të energjisë balancuese nga rezervat e restaurimit të frekuencave dhe rezervat zëvendësuese. Bashkëpunimi midis TSO-ve duhet të kufizohet rreptësisht në atë që është e nevojshme për projektimin, zbatimin dhe funksionimin efikas dhe të sigurt të këtyre platformave Evropiane.</w:t>
      </w:r>
    </w:p>
    <w:p w14:paraId="536847B2" w14:textId="252CD46D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Nenet 51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(1), 51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(3) dhe 51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(4) përca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kton afatin për dorëzimin e CCU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tek autoritetet përkatëse rregullatore dhe disa kërkesa specifike për përmbajtjen e tyre:</w:t>
      </w:r>
    </w:p>
    <w:p w14:paraId="62935B8B" w14:textId="49EE6F04" w:rsidR="00057BF9" w:rsidRPr="008D0C28" w:rsidRDefault="00B40A80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057BF9" w:rsidRPr="00B40A8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1.</w:t>
      </w:r>
      <w:r w:rsidR="00843EFE"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Deri në tetëmbëdhjetë muaj pas hyrjes në fuqi të kësaj Rregulloreje, të gjithë TSO-të e një zone sinkron do të zhvillojnë një propozim për rregullat e përbashkëta të shlyerjes të zbatueshme </w:t>
      </w:r>
      <w:r w:rsidR="00057BF9"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lastRenderedPageBreak/>
        <w:t>për të gjitha shkëmbimet e energjisë e paqëllimshme. Propozimi duhet të përfshijë kërkesat e mëposhtme:</w:t>
      </w:r>
    </w:p>
    <w:p w14:paraId="4A2BC235" w14:textId="082ABD23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a)</w:t>
      </w:r>
      <w:r w:rsidR="00843EFE"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çmimi për shkëmbimet e paqëllimshme të energjisë të tërhequr nga zona sinkron do të pasqyrojë çmimet për energjinë balancuese të aktivizuar lart për procesin e restaurimit të frekuencave ose procesin e zëvendësimit të rezervës për këtë zonë sinkron;</w:t>
      </w:r>
    </w:p>
    <w:p w14:paraId="0BC63583" w14:textId="6AA69498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b)</w:t>
      </w:r>
      <w:r w:rsidR="00843EFE"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çmimi për shkëmbimet e paqëllimshme të energjisë të injektuara në zonën sinkron do të pasqyrojë çmimet për energjinë balancuese të aktivizuar në rënie për procesin e restaurimit të frekuencës ose procesin e zëvendësimit të rezervës për këtë zonë sinkron;</w:t>
      </w:r>
    </w:p>
    <w:p w14:paraId="4DFF964A" w14:textId="442B8ADE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2.</w:t>
      </w:r>
      <w:r w:rsidR="00843EFE"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Propozimet e rregullave të përbashkëta të shlyerjes së shkëmbimeve të paqëllimshme të energjisë ndërmjet TSO-ve do të sigurojnë shpërndarje të drejtë dhe të barabartë të kostove dhe përfitimeve ndërmjet tyre.</w:t>
      </w:r>
    </w:p>
    <w:p w14:paraId="61357B75" w14:textId="786289B7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3.</w:t>
      </w:r>
      <w:r w:rsidR="00843EFE"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gjitha TSO-të do të krijojnë një mekanizëm të koordinuar për rregullimet e shlyerjeve ndërmjet tyre.</w:t>
      </w:r>
      <w:r w:rsidR="00B40A8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5BCE2AE4" w14:textId="72F74040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CCU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203DF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kontribuon në objektivin e mosdiskriminimit dhe transparencës në balancimin e tregjeve në pajtim me </w:t>
      </w:r>
      <w:r w:rsidR="00402BBA">
        <w:rPr>
          <w:rFonts w:ascii="Garamond" w:hAnsi="Garamond" w:cs="Times New Roman"/>
          <w:color w:val="000000"/>
          <w:sz w:val="24"/>
          <w:szCs w:val="24"/>
          <w:lang w:val="sq-AL"/>
        </w:rPr>
        <w:t>nenin 3 (1) (a) dhe nenet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(2) (a) dhe 3 (2) (b) të EBGL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 të njëjtat rregulla të shlyerjes do të zbatohen në të gjithë Zonën Sinkronike të Evropës Kontinentale dhe ato do të jenë në dispozicion të publikut.</w:t>
      </w:r>
    </w:p>
    <w:p w14:paraId="0F50628B" w14:textId="774A35CD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CCU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203DF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kontribuon në objektivin e rritjes së efikasitetit të tregjeve Evropiane dhe kombëtare të balancimit, në përputhje me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3 (1) (b) të EBGL</w:t>
      </w:r>
      <w:r w:rsidR="00B40A80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 duke qenë se programi i kompensimit zëvendësohet me rregullat e përbashkëta të shlyerjes të zbatueshme për të gjithë Zonën Sinkronike të Evropës Kontinentale.</w:t>
      </w:r>
    </w:p>
    <w:p w14:paraId="19E12FB0" w14:textId="74FEF148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CCU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shërben kërkesës së nenit 3 (2) (h) të EBGL</w:t>
      </w:r>
      <w:r w:rsidR="00B40A80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qenë se kuadri teknik i propozuar bazohet në standardet evropiane të miratuara që tashmë janë në veprim.</w:t>
      </w:r>
    </w:p>
    <w:p w14:paraId="6EEF2776" w14:textId="57D414DB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CCU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 zhvillua duke marrë parasysh konsistencën me rregullat e shlyerjes së shkëmbimeve të energjisë të synuara si rezultat i procesit të kontrollit të frekuencave dhe </w:t>
      </w:r>
      <w:r w:rsidR="00402BBA">
        <w:rPr>
          <w:rFonts w:ascii="Garamond" w:hAnsi="Garamond" w:cs="Times New Roman"/>
          <w:color w:val="000000"/>
          <w:sz w:val="24"/>
          <w:szCs w:val="24"/>
          <w:lang w:val="sq-AL"/>
        </w:rPr>
        <w:t>periudhës së ndryshimit (rritje/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ulje) brenda Zonës Sinkronike të Evropës Kontinentale në përputhje me </w:t>
      </w:r>
      <w:r w:rsidR="00402BBA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50 (3) të EBGL</w:t>
      </w:r>
      <w:r w:rsidR="00B40A80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7C9C05E" w14:textId="5AA2DAE5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CCU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 zhvillua duke marrë parasysh konsistencën me rregullat e shlyerjes së shkëmbimeve të synuara midis zonave sinkronike në përputhje me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50 (4) të EBGL</w:t>
      </w:r>
      <w:r w:rsidR="00B40A80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shkëmbimet e paqëllimshme në përputhje me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51 (2) të EBGL</w:t>
      </w:r>
      <w:r w:rsidR="00B40A80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C9C05D4" w14:textId="74555B5B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Në përfundim, CCU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kontribuon në o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bjektivat e përgjithshme të EBGL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-së.</w:t>
      </w:r>
    </w:p>
    <w:p w14:paraId="0E57DA75" w14:textId="77777777" w:rsidR="00843EFE" w:rsidRPr="008D0C28" w:rsidRDefault="00843EFE" w:rsidP="00843EFE">
      <w:pPr>
        <w:pStyle w:val="AAATEETE"/>
        <w:jc w:val="center"/>
        <w:rPr>
          <w:lang w:val="sq-AL"/>
        </w:rPr>
      </w:pPr>
    </w:p>
    <w:p w14:paraId="0A447F07" w14:textId="77777777" w:rsidR="00057BF9" w:rsidRPr="008D0C28" w:rsidRDefault="00057BF9" w:rsidP="00843EFE">
      <w:pPr>
        <w:pStyle w:val="AAATEETE"/>
        <w:jc w:val="center"/>
        <w:rPr>
          <w:b/>
          <w:bCs/>
          <w:lang w:val="sq-AL"/>
        </w:rPr>
      </w:pPr>
      <w:r w:rsidRPr="008D0C28">
        <w:rPr>
          <w:b/>
          <w:bCs/>
          <w:lang w:val="sq-AL"/>
        </w:rPr>
        <w:t>Shkurtime</w:t>
      </w:r>
    </w:p>
    <w:p w14:paraId="00C9EE69" w14:textId="77777777" w:rsidR="00057BF9" w:rsidRPr="008D0C28" w:rsidRDefault="00057BF9" w:rsidP="00843EFE">
      <w:pPr>
        <w:pStyle w:val="AAATEETE"/>
        <w:jc w:val="center"/>
        <w:rPr>
          <w:b/>
          <w:bCs/>
          <w:lang w:val="sq-AL"/>
        </w:rPr>
      </w:pPr>
    </w:p>
    <w:p w14:paraId="5DCBF4D4" w14:textId="77777777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Lista e shkurtimeve të përdorura në këtë CCU është si në vijim: </w:t>
      </w:r>
    </w:p>
    <w:p w14:paraId="747C5C2E" w14:textId="39965597" w:rsidR="00057BF9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ACE: Gabim i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zonës së kontrollit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1E93CFB" w14:textId="4FFAF5FD" w:rsidR="00057BF9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ACER: Agjencia për Bashkëpunimin e Rregullatorëve të Energjisë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BD55528" w14:textId="660CEDAD" w:rsidR="00057BF9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ANES: programet e j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ashtme të bashkuara të rrjeteve;</w:t>
      </w:r>
    </w:p>
    <w:p w14:paraId="5230AF8E" w14:textId="00C12993" w:rsidR="00057BF9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CCFR: rregullat e zakonshme të shlyerjes për Evropën Kontinentale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shkëmbimet e energjisë të synuara si rezultat i procesit të kontrollit të frekuencës dhe periudhës së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ndryshimit (rritje/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ulje)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0CBB420" w14:textId="6B4AAE51" w:rsidR="00057BF9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CCU: rregullat e përbashkëta të shlyerjes për Evropën Kontinentale për të gjitha shkëmbimet e energjisë të paqëllimshme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1CA0BCA" w14:textId="69A69D47" w:rsidR="00057BF9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EBGL: Rregullorja e Komisionit (BE) 2017/2195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23 nëntorit 2017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krijimin e një udhëzuesi mbi balancimin e energjisë elektrike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F3307E6" w14:textId="60A54587" w:rsidR="00057BF9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Rregullorja e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energjisë e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lektrike: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regullorja (EC) 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714/2009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Parlamentit Evropian dhe e Këshillit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datës 13 korrik 2009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kushtet për akses në rrjet për shkëmbimet ndërkufitare të energjisë elektrike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3C2A8EB" w14:textId="6559F6AC" w:rsidR="00057BF9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-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Zona LFC: zona e kontro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llit të frekuencës së ngarkesës;</w:t>
      </w:r>
    </w:p>
    <w:p w14:paraId="4DD71936" w14:textId="47591BC5" w:rsidR="00057BF9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Blloku LFC: blloku i kontrollit të frekuencës së ngarkesës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FEEFE4A" w14:textId="43E71258" w:rsidR="00057BF9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SA CE: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zona sinkronike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 Evropës Kontinentale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E9E3646" w14:textId="2A1E01CF" w:rsidR="00057BF9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SOGL: Rregullorja (KE) nr. 2017/1485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datës 2 gusht 2017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krijimin e një udhëzuesi mbi operimin e sistemit të transmetimit të energjisë elektrike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CB5F3FF" w14:textId="542B2AE8" w:rsidR="00057BF9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TSO: Operatori i Sistemit të Transmetimit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309F16E" w14:textId="77777777" w:rsidR="00843EFE" w:rsidRPr="008D0C28" w:rsidRDefault="00843EFE" w:rsidP="00843EFE">
      <w:pPr>
        <w:pStyle w:val="AAATEETE"/>
        <w:jc w:val="center"/>
        <w:rPr>
          <w:lang w:val="sq-AL"/>
        </w:rPr>
      </w:pPr>
    </w:p>
    <w:p w14:paraId="2B5E5E85" w14:textId="77777777" w:rsidR="00057BF9" w:rsidRPr="008D0C28" w:rsidRDefault="00057BF9" w:rsidP="00843EFE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1</w:t>
      </w:r>
    </w:p>
    <w:p w14:paraId="5E5CE8D6" w14:textId="77777777" w:rsidR="00057BF9" w:rsidRPr="008D0C28" w:rsidRDefault="00057BF9" w:rsidP="00843EFE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Objekti dhe qëllimi</w:t>
      </w:r>
    </w:p>
    <w:p w14:paraId="2D5D2F63" w14:textId="77777777" w:rsidR="00057BF9" w:rsidRPr="008D0C28" w:rsidRDefault="00057BF9" w:rsidP="00843EFE">
      <w:pPr>
        <w:pStyle w:val="AAATEETE"/>
        <w:jc w:val="center"/>
        <w:rPr>
          <w:lang w:val="sq-AL"/>
        </w:rPr>
      </w:pPr>
    </w:p>
    <w:p w14:paraId="6AEFB40A" w14:textId="577F4641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Rregullat e zakonshme të shlyerjes për të gjitha shkëmbimet e paqëllimshme të energjisë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siç përcaktohen në këtë CCU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janë propozim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përbashkët i të gjithë TSO-ve të SA CE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51 (1) të EBGL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-së.</w:t>
      </w:r>
    </w:p>
    <w:p w14:paraId="08DAE3FD" w14:textId="188921EE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Rregullat e mëposhtme të shlyerjes janë jashtë fushëveprimit të CCU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50691A3B" w14:textId="6460252E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rregullat e përbashkëta të shlyerjes për shkëmbimet e energjisë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qëllimshme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pajtim me nenin 50 (1) të EBGL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B20218C" w14:textId="2F565074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rregullat e përbashkëta të shlyerjes për të gjitha shkëmbimet e qëllimshme të energjisë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pajtim me nenin 50 (3) të EBGL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AB3E913" w14:textId="03CAC49F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rregullat e përbashkëta të shlyerjes për shkëmbimet e qëllimshme të energjisë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50 (4) të EBGL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-së;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301696C" w14:textId="361FA0D8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rregullat e përbashkëta të shlyerjes për shkëmbimin e paqëllimshëm të energjisë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51 (2) të EBGL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836472D" w14:textId="6674BB45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Qeverisja, ndarja e kostos dhe vendimmarrja do të organizohen sipas kërkesave të EBGL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 por nuk janë brenda fushëveprimit të kësaj CCU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5555566" w14:textId="77777777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BA11E7" w14:textId="77777777" w:rsidR="00057BF9" w:rsidRPr="008D0C28" w:rsidRDefault="00057BF9" w:rsidP="00843EFE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2</w:t>
      </w:r>
    </w:p>
    <w:p w14:paraId="2E4DC1D5" w14:textId="77777777" w:rsidR="00057BF9" w:rsidRPr="008D0C28" w:rsidRDefault="00057BF9" w:rsidP="00843EFE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Përkufizime dhe interpretime</w:t>
      </w:r>
    </w:p>
    <w:p w14:paraId="7811C5F8" w14:textId="77777777" w:rsidR="00057BF9" w:rsidRPr="008D0C28" w:rsidRDefault="00057BF9" w:rsidP="00843EFE">
      <w:pPr>
        <w:pStyle w:val="AAATEETE"/>
        <w:rPr>
          <w:lang w:val="sq-AL"/>
        </w:rPr>
      </w:pPr>
    </w:p>
    <w:p w14:paraId="5CE4A0C5" w14:textId="05666693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Për qëllimet e kësaj CCU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 termat e përdorur do të kenë përkufizimet që u janë dhënë atyre në nenin 2 të EBGL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në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3 të SOGL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9F89223" w14:textId="61065F6A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Përveç kësaj, në këtë CCU do të zbatohen kushtet e mëposhtme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600B2A1F" w14:textId="10820ABB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“Të dhënat e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logaritjes së energjisë në kufi” janë rezultat i një marrëveshjeje ndërmjet dy TSO-ve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energjinë fizike të shkëmbyer mbi një linjë fizike ose që konsiderohet nëpërmjet një linje lidhëse virtuale dhe rrjedh nga të dhënat e matur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vlerësuar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75BC633" w14:textId="4035DEC1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“CCFR” i referohet ‘Të gjitha propozimeve të TSO-ve kontinentale evropiane për rregullat e shlyerjeve të përbashkëta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gjitha shkëmbimet e energjisë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paqëllimshme si rezultat i procesit të kontrollit të frekuencave dhe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periudhës së ndryshimit (rritje/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ulje)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50 (3)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regullores së Komisionit (BE) 2017/2195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23 nëntorit 2017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krijimin e një udhëzuesi mbi balancimin e energjisë elektrike’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6CF4B54" w14:textId="26FE9B9E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“Periudha e shlyerjes TSO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TSO” do të thotë, në kontekstin e kësaj CCU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 njësia kohore për të cilën llogaritet shkëmbimi i paqëllimshëm i energjisë dhe shkëmbimet e energjisë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synuara si rezultat i procesit të kontrollit të frekuencës dhe pe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riudhës së ndryshimit (rritje/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ulje);</w:t>
      </w:r>
    </w:p>
    <w:p w14:paraId="59897CDA" w14:textId="612523DF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hkëmbimet e paqëllimshme të energjisë” janë të barabarta me integralin e gabimit të zonës së kontrollit (ACE)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nenit 3 të SOGL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një periudhë shlyerjeje TSO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TSO.</w:t>
      </w:r>
    </w:p>
    <w:p w14:paraId="0A879EE6" w14:textId="45F10D77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Në këtë CCU, përveç nëse konteksti kërkon ndryshe:</w:t>
      </w:r>
    </w:p>
    <w:p w14:paraId="0FE7A005" w14:textId="2B0A628B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çmimet për shkëmbimet e energjisë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së pa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qëllimshme tregohen në 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EUR/mwh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3F297B7" w14:textId="711FA606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“Evropa kontinentale” dhe “SA CE” nënkuptojnë </w:t>
      </w:r>
      <w:r w:rsidR="00EB624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Zonën Sinkronike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të Evropës Kontinentale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CB30E4A" w14:textId="7269E8D9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Përveç kësaj, nëse konteksti e kërkon ndryshe:</w:t>
      </w:r>
    </w:p>
    <w:p w14:paraId="0C37F950" w14:textId="6416B9DA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a)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njëjësi tregon shumësin dhe anasjelltas;</w:t>
      </w:r>
    </w:p>
    <w:p w14:paraId="5A643007" w14:textId="412D2A50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tabela e përmbajtjeve dhe titujt vendosen vetëm për lehtësi dhe nuk ndikojnë në interpretimin e kësaj CCU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0935EB3" w14:textId="7C885210" w:rsidR="00057BF9" w:rsidRPr="008D0C28" w:rsidRDefault="00057BF9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çdo referencë në legjislacion, rregullore, direktivë, urdhër, instrument, kod ose ndonjë akt tjetër do të përfshij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çdo modifikim, zgjatje ose ri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miratim të tij në fuqi.</w:t>
      </w:r>
    </w:p>
    <w:p w14:paraId="40A4D0EB" w14:textId="355D193D" w:rsidR="00057BF9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Shlyerja sipas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enit 3 (9)</w:t>
      </w:r>
      <w:r w:rsidR="00402B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kësaj CCU</w:t>
      </w:r>
      <w:r w:rsidR="00246FDC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="00402B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ndjekë konventën e shenjave në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057BF9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abelën 1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0479619" w14:textId="77777777" w:rsidR="00843EFE" w:rsidRPr="008D0C28" w:rsidRDefault="00843EFE" w:rsidP="00843EFE">
      <w:pPr>
        <w:pStyle w:val="textregular"/>
        <w:spacing w:after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DCF260D" w14:textId="28FAE968" w:rsidR="00843EFE" w:rsidRPr="00EB624B" w:rsidRDefault="00843EFE" w:rsidP="00EB624B">
      <w:pPr>
        <w:spacing w:after="0" w:line="240" w:lineRule="auto"/>
        <w:rPr>
          <w:rFonts w:ascii="Garamond" w:hAnsi="Garamond" w:cs="Times New Roman"/>
          <w:bCs/>
          <w:sz w:val="24"/>
          <w:szCs w:val="24"/>
          <w:lang w:val="sq-AL"/>
        </w:rPr>
      </w:pPr>
      <w:r w:rsidRPr="00EB624B">
        <w:rPr>
          <w:rFonts w:ascii="Garamond" w:hAnsi="Garamond" w:cs="Times New Roman"/>
          <w:bCs/>
          <w:sz w:val="24"/>
          <w:szCs w:val="24"/>
          <w:lang w:val="sq-AL"/>
        </w:rPr>
        <w:t>Tabela 1</w:t>
      </w:r>
      <w:r w:rsidR="00EB624B" w:rsidRPr="00EB624B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Pr="00EB624B">
        <w:rPr>
          <w:rFonts w:ascii="Garamond" w:hAnsi="Garamond" w:cs="Times New Roman"/>
          <w:bCs/>
          <w:sz w:val="24"/>
          <w:szCs w:val="24"/>
          <w:lang w:val="sq-AL"/>
        </w:rPr>
        <w:t xml:space="preserve"> Drejtimi i pagesës për shlyerjen e TSO-së sipas CCU</w:t>
      </w:r>
      <w:r w:rsidR="00EE1AE5" w:rsidRPr="00EB624B">
        <w:rPr>
          <w:rFonts w:ascii="Garamond" w:hAnsi="Garamond" w:cs="Times New Roman"/>
          <w:bCs/>
          <w:sz w:val="24"/>
          <w:szCs w:val="24"/>
          <w:lang w:val="sq-AL"/>
        </w:rPr>
        <w:t>-së</w:t>
      </w:r>
    </w:p>
    <w:tbl>
      <w:tblPr>
        <w:tblStyle w:val="Tabelraster1"/>
        <w:tblW w:w="0" w:type="auto"/>
        <w:tblInd w:w="421" w:type="dxa"/>
        <w:tblLook w:val="04A0" w:firstRow="1" w:lastRow="0" w:firstColumn="1" w:lastColumn="0" w:noHBand="0" w:noVBand="1"/>
      </w:tblPr>
      <w:tblGrid>
        <w:gridCol w:w="2664"/>
        <w:gridCol w:w="2864"/>
        <w:gridCol w:w="2977"/>
      </w:tblGrid>
      <w:tr w:rsidR="00843EFE" w:rsidRPr="00EB624B" w14:paraId="3197EB24" w14:textId="77777777" w:rsidTr="002A31FA"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3AA72" w14:textId="087C6A52" w:rsidR="00843EFE" w:rsidRPr="00EB624B" w:rsidRDefault="00203DF1" w:rsidP="00843EF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BC92" w14:textId="72D5D976" w:rsidR="00843EFE" w:rsidRPr="00EB624B" w:rsidRDefault="00843EFE" w:rsidP="00EE1AE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Çmimi i shlyerjes TSO</w:t>
            </w:r>
            <w:r w:rsidR="00EE1AE5"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TSO: pozitiv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E8E8" w14:textId="70C22C88" w:rsidR="00843EFE" w:rsidRPr="00EB624B" w:rsidRDefault="00843EFE" w:rsidP="00EE1AE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Çmimi i shlyerjes TSO</w:t>
            </w:r>
            <w:r w:rsidR="00EE1AE5"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TSO: negativ</w:t>
            </w:r>
          </w:p>
        </w:tc>
      </w:tr>
      <w:tr w:rsidR="00843EFE" w:rsidRPr="00EB624B" w14:paraId="326604BB" w14:textId="77777777" w:rsidTr="002A31FA"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9C45" w14:textId="1F1FB814" w:rsidR="00843EFE" w:rsidRPr="00EB624B" w:rsidRDefault="00843EFE" w:rsidP="00843EF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Vëllimi i shlyerjes së TSO</w:t>
            </w:r>
            <w:r w:rsidR="00EE1AE5"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-së</w:t>
            </w: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: pozitiv (eksportet e TSO</w:t>
            </w:r>
            <w:r w:rsidR="00EE1AE5"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-së</w:t>
            </w: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BD4E4" w14:textId="30C23976" w:rsidR="00843EFE" w:rsidRPr="00EB624B" w:rsidRDefault="00843EFE" w:rsidP="00843EF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Pagesa për TSO</w:t>
            </w:r>
            <w:r w:rsidR="00EB624B">
              <w:rPr>
                <w:rFonts w:ascii="Garamond" w:hAnsi="Garamond" w:cs="Times New Roman"/>
                <w:sz w:val="20"/>
                <w:szCs w:val="20"/>
                <w:lang w:val="sq-AL"/>
              </w:rPr>
              <w:t>-të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EFCA" w14:textId="3D104CFD" w:rsidR="00843EFE" w:rsidRPr="00EB624B" w:rsidRDefault="00843EFE" w:rsidP="00843EF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Pagesa nga TSO</w:t>
            </w:r>
            <w:r w:rsidR="00EB624B">
              <w:rPr>
                <w:rFonts w:ascii="Garamond" w:hAnsi="Garamond" w:cs="Times New Roman"/>
                <w:sz w:val="20"/>
                <w:szCs w:val="20"/>
                <w:lang w:val="sq-AL"/>
              </w:rPr>
              <w:t>-të</w:t>
            </w:r>
          </w:p>
        </w:tc>
      </w:tr>
      <w:tr w:rsidR="00843EFE" w:rsidRPr="00EB624B" w14:paraId="716C6AC7" w14:textId="77777777" w:rsidTr="002A31FA"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4697" w14:textId="678F869D" w:rsidR="00843EFE" w:rsidRPr="00EB624B" w:rsidRDefault="00843EFE" w:rsidP="00843EF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Vëllimi i shlyerjes së TSO</w:t>
            </w:r>
            <w:r w:rsidR="00EE1AE5"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-së</w:t>
            </w: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: negativ (importet e TSO</w:t>
            </w:r>
            <w:r w:rsidR="00EE1AE5"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-së</w:t>
            </w: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0BB5C" w14:textId="262334DE" w:rsidR="00843EFE" w:rsidRPr="00EB624B" w:rsidRDefault="00843EFE" w:rsidP="00843EF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Pagesa nga TSO</w:t>
            </w:r>
            <w:r w:rsidR="00EB624B">
              <w:rPr>
                <w:rFonts w:ascii="Garamond" w:hAnsi="Garamond" w:cs="Times New Roman"/>
                <w:sz w:val="20"/>
                <w:szCs w:val="20"/>
                <w:lang w:val="sq-AL"/>
              </w:rPr>
              <w:t>-të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B494" w14:textId="35664DC4" w:rsidR="00843EFE" w:rsidRPr="00EB624B" w:rsidRDefault="00843EFE" w:rsidP="00843EF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B624B">
              <w:rPr>
                <w:rFonts w:ascii="Garamond" w:hAnsi="Garamond" w:cs="Times New Roman"/>
                <w:sz w:val="20"/>
                <w:szCs w:val="20"/>
                <w:lang w:val="sq-AL"/>
              </w:rPr>
              <w:t>Pagesa për TSO</w:t>
            </w:r>
            <w:r w:rsidR="00EB624B">
              <w:rPr>
                <w:rFonts w:ascii="Garamond" w:hAnsi="Garamond" w:cs="Times New Roman"/>
                <w:sz w:val="20"/>
                <w:szCs w:val="20"/>
                <w:lang w:val="sq-AL"/>
              </w:rPr>
              <w:t>-të</w:t>
            </w:r>
          </w:p>
        </w:tc>
      </w:tr>
    </w:tbl>
    <w:p w14:paraId="67494C67" w14:textId="77777777" w:rsidR="00843EFE" w:rsidRPr="008D0C28" w:rsidRDefault="00843EFE" w:rsidP="00843EFE">
      <w:pPr>
        <w:spacing w:after="0" w:line="240" w:lineRule="auto"/>
        <w:rPr>
          <w:rFonts w:ascii="Garamond" w:hAnsi="Garamond" w:cs="Times New Roman"/>
          <w:b/>
          <w:sz w:val="24"/>
          <w:szCs w:val="24"/>
          <w:lang w:val="sq-AL"/>
        </w:rPr>
      </w:pPr>
    </w:p>
    <w:p w14:paraId="2A651226" w14:textId="77777777" w:rsidR="00843EFE" w:rsidRPr="008D0C28" w:rsidRDefault="00843EFE" w:rsidP="00843EFE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3</w:t>
      </w:r>
    </w:p>
    <w:p w14:paraId="02760B15" w14:textId="77777777" w:rsidR="00843EFE" w:rsidRPr="008D0C28" w:rsidRDefault="00843EFE" w:rsidP="00843EFE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Projekti i nivelit të lartë për zgjidhjen e përbashkët</w:t>
      </w:r>
    </w:p>
    <w:p w14:paraId="0593DEDA" w14:textId="77777777" w:rsidR="00843EFE" w:rsidRPr="008D0C28" w:rsidRDefault="00843EFE" w:rsidP="00843EFE">
      <w:pPr>
        <w:pStyle w:val="AAATEETE"/>
        <w:rPr>
          <w:lang w:val="sq-AL"/>
        </w:rPr>
      </w:pPr>
    </w:p>
    <w:p w14:paraId="14D909D9" w14:textId="72D49028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Shlyerja e përbashkët e kryer nga TSO-të e SA CE në pajtim me këtë CCU do të përbëhet nga funksioni i </w:t>
      </w:r>
      <w:r w:rsidR="00EE1AE5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ogaritjes së energjisë në kufi, funksioni i shlyerjes së CCU</w:t>
      </w:r>
      <w:r w:rsidR="00EE1AE5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detyra e faturimit.</w:t>
      </w:r>
    </w:p>
    <w:p w14:paraId="655B7A39" w14:textId="2065E0B1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Njësia ose subjektet e ngarkuara me funksionin e </w:t>
      </w:r>
      <w:r w:rsidR="00EE1AE5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logaritjes së energjisë në kufi të CCU</w:t>
      </w:r>
      <w:r w:rsidR="00EE1AE5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mbledhin të gjitha të dhënat e kërkuara për të llogar</w:t>
      </w:r>
      <w:r w:rsidR="00EE1AE5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itur vlerat e shkëmbimeve të pa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qëllimshme për secilën periudhë</w:t>
      </w:r>
      <w:r w:rsidR="00203DF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shlyerje</w:t>
      </w:r>
      <w:r w:rsidR="00EE1AE5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TSO</w:t>
      </w:r>
      <w:r w:rsidR="00EE1AE5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TSO.</w:t>
      </w:r>
    </w:p>
    <w:p w14:paraId="016CDAB4" w14:textId="0B91E60A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Inputet në funksionin e </w:t>
      </w:r>
      <w:r w:rsidR="00EE1AE5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logaritjes së energjisë në kufi të CCU</w:t>
      </w:r>
      <w:r w:rsidR="00EE1AE5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jenë:</w:t>
      </w:r>
    </w:p>
    <w:p w14:paraId="480EDC18" w14:textId="3CE365A4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të dhënat e </w:t>
      </w:r>
      <w:r w:rsidR="00EE1AE5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logaritjes së energjisë në kufi për periudhën e shlyerjes TSO</w:t>
      </w:r>
      <w:r w:rsidR="00EE1AE5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TSO dhe për zonën e LFC të SA CE, duke përfshirë shkëmbimin e energjisë </w:t>
      </w:r>
      <w:r w:rsidR="00EE1AE5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llogaritur nëpërmjet një linje lineare virtuale;</w:t>
      </w:r>
    </w:p>
    <w:p w14:paraId="7D1E611A" w14:textId="2288FFC9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 të gjitha skedul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 e jashtme neto të mbledhura (ANES) brenda SA CE;</w:t>
      </w:r>
    </w:p>
    <w:p w14:paraId="11802CB1" w14:textId="0D217A19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vëllimet e shkëmbimeve të energjisë të synuara si rezultat i procesit të kontrollit të frekuencave dhe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periudhës së ndryshimit (rritje/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ulje) sipas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enit 50 (3) të EBGL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D3F3AB8" w14:textId="60BC4C18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Output i funksionit të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logaritjes së energjisë në kufi të CCU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jetë vëllimi i shkëmbimeve të energjisë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paqëllimshme për secilën periudhë të shlyerjes TSO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 brenda SA CE.</w:t>
      </w:r>
    </w:p>
    <w:p w14:paraId="7DBC9C6D" w14:textId="310A5ECF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Njësia ose njësitë të cilave u është besuar funksioni i shlyerjes së CCU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mbledhë të gjitha të dhënat e kërkuara për të llogaritur një çmim të shkëmbimit të energjisë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paqëllimshme për secilën periudhë të shlyerjes së TSO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 dhe do të llogarisë rezultatin financiar dhe flukset financiare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çdo bllok LFC-je ose zonë LFC-je. </w:t>
      </w:r>
    </w:p>
    <w:p w14:paraId="47C9FDE7" w14:textId="15575475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Inputi në funksionin e shlyerjes së CCU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jetë:</w:t>
      </w:r>
    </w:p>
    <w:p w14:paraId="2B1E6DF2" w14:textId="50BFF4BD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vëllimet e shkëmbimit të energjisë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qëllimshme si rezultat i procesit të kontrollit së frekuencës dhe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periudhës së ndryshimit (rritje/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ulje)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7 të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CCFR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shkëmbimin e energjisë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paqëllimshme në përputhje me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7 të kësaj CCU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96CAD63" w14:textId="2ABB3F64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çmimin e tregut për ditën e ardhshme të secilës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SA CE, në përputhje me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8 (1) (a) të kësaj CCU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-je;</w:t>
      </w:r>
    </w:p>
    <w:p w14:paraId="0BAD0E06" w14:textId="0835E8F2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c) devijimin mesatar të frekuencës për secilën periudhë të shlyerjes TSO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 të SA CE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cila përcaktohet nga një TSO e caktuar;</w:t>
      </w:r>
    </w:p>
    <w:p w14:paraId="56D669EA" w14:textId="3CBEB480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Funksioni i shlyerjes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CCU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203DF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do të ketë rezultatet vijuese:</w:t>
      </w:r>
    </w:p>
    <w:p w14:paraId="5D448BB8" w14:textId="188A9A26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çmimi për shkëmbimet e energjisë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paqëllimshme për secilën periudhë të shlyerjes TSO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–TSO;</w:t>
      </w:r>
    </w:p>
    <w:p w14:paraId="63B40023" w14:textId="2BED37B6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b) flukset financiare ndërmjet të gjitha blloqeve LFC ose zonave të LFC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SA CE si rezultat i shkëmbimit të energjisë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paqëllimshme për secilën periudhë të shlyerjes TSO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TSO.</w:t>
      </w:r>
    </w:p>
    <w:p w14:paraId="0B763661" w14:textId="60A6C1DD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gjitha vëllimet e shkëmbimeve të energjisë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paqëllimshme të llogaritura për secilën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bllok LFC-je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secilën periudhë të shlyerjes TSO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TSO, në përputhje me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7 të kësaj CCU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 do të shlyhen me të njëjtin çmim të llogaritur për atë periudhë të shlyerjes TSO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 në përputhje me nenet 8 (1) dhe 8 (2) të kësaj CCU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110DDC9" w14:textId="68319CC9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Shlyerja do të realizohet në nivelin e zonave LFC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përveç nëse:</w:t>
      </w:r>
    </w:p>
    <w:p w14:paraId="0F194ADA" w14:textId="5258BCFC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a) të gjithë TSO-të e një blloku të vetëm LFC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bien dakord për një shlyerje të përbashkët të zonave të tyre LFC; ose</w:t>
      </w:r>
    </w:p>
    <w:p w14:paraId="58595713" w14:textId="0A053531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b) disa TSO të një blloku të vetëm LFC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bien dakord për një shlyerje të p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ërbashkët të zonave të tyre LFC.</w:t>
      </w:r>
    </w:p>
    <w:p w14:paraId="766E517C" w14:textId="120C69B5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Njësia ose njësitë të cilave u është besuar detyra e faturimit duhet t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i faturojnë TSO-ve të SA CE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rezultateve të funksionit të zgjidhjes së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CCU-së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138FD3C" w14:textId="0B55634F" w:rsidR="00843EFE" w:rsidRPr="008D0C28" w:rsidRDefault="002A31FA" w:rsidP="00843EFE">
      <w:pPr>
        <w:pStyle w:val="AAATEETE"/>
        <w:rPr>
          <w:lang w:val="sq-AL"/>
        </w:rPr>
      </w:pPr>
      <w:r w:rsidRPr="008D0C28">
        <w:rPr>
          <w:lang w:val="sq-AL"/>
        </w:rPr>
        <w:t>11.</w:t>
      </w:r>
      <w:r w:rsidR="00843EFE" w:rsidRPr="008D0C28">
        <w:rPr>
          <w:lang w:val="sq-AL"/>
        </w:rPr>
        <w:t xml:space="preserve"> Të gjitha TSO</w:t>
      </w:r>
      <w:r w:rsidR="00002FB1" w:rsidRPr="008D0C28">
        <w:rPr>
          <w:lang w:val="sq-AL"/>
        </w:rPr>
        <w:t>-të</w:t>
      </w:r>
      <w:r w:rsidR="00843EFE" w:rsidRPr="008D0C28">
        <w:rPr>
          <w:lang w:val="sq-AL"/>
        </w:rPr>
        <w:t xml:space="preserve"> e SA CE pranojnë flukset financiare dhe janë të detyruar të paguajnë sipas tyre. Flukset financiare duhet të rishikohen në rast se gjendet një gabim në llogaritjet ose në të dhënat e vendosura në llogaritje.</w:t>
      </w:r>
    </w:p>
    <w:p w14:paraId="1FD94C50" w14:textId="77777777" w:rsidR="00843EFE" w:rsidRPr="008D0C28" w:rsidRDefault="00843EFE" w:rsidP="00843EFE">
      <w:pPr>
        <w:pStyle w:val="AAATEETE"/>
        <w:jc w:val="center"/>
        <w:rPr>
          <w:lang w:val="sq-AL"/>
        </w:rPr>
      </w:pPr>
    </w:p>
    <w:p w14:paraId="7392DA73" w14:textId="77777777" w:rsidR="00843EFE" w:rsidRPr="008D0C28" w:rsidRDefault="00843EFE" w:rsidP="00843EFE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4</w:t>
      </w:r>
    </w:p>
    <w:p w14:paraId="63D354C3" w14:textId="77777777" w:rsidR="00843EFE" w:rsidRPr="008D0C28" w:rsidRDefault="00843EFE" w:rsidP="00843EFE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Zbatimi i zgjidhjes së përbashkët</w:t>
      </w:r>
    </w:p>
    <w:p w14:paraId="3D67AC69" w14:textId="77777777" w:rsidR="00843EFE" w:rsidRPr="008D0C28" w:rsidRDefault="00843EFE" w:rsidP="00843EFE">
      <w:pPr>
        <w:pStyle w:val="AAATEETE"/>
        <w:rPr>
          <w:lang w:val="sq-AL"/>
        </w:rPr>
      </w:pPr>
    </w:p>
    <w:p w14:paraId="4D4DFD61" w14:textId="5995D082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gjitha TSO-të e SA CE zbatojnë rregullat e përbashkëta të shlyerjes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12 muajve pas miratimit të kësaj CCU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përputhje me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5 (5) të EBGL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3FE45C9" w14:textId="675B46F0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Hapat e mëposhtëm dhe afatet kohore do të përdoren si udhërrëfyes për zbatimin e rregullave të përbashkëta të shlyerjes:</w:t>
      </w:r>
    </w:p>
    <w:p w14:paraId="0CC7F7CE" w14:textId="36BF98B0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daptimi i të gjithë matësve: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gjithë TSO-të e SA CE kanë ndryshuar pajisjet matëse të tyre dhe janë në gjendje të matin shkëmbimet e energjisë në periudhën e shlyerjes TSO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–TSO;</w:t>
      </w:r>
    </w:p>
    <w:p w14:paraId="6E7A4DC2" w14:textId="6647E292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mërimi i subjekteve: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funksioni i llogaritjes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energjisë në kufi të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CCU-së,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funksioni i zgjidhjes së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dhe detyrat e faturimit janë emëruar në një ose disa njësi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nenit 3 të kësaj CCU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-je;</w:t>
      </w:r>
    </w:p>
    <w:p w14:paraId="650606F5" w14:textId="0FA29937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batimi i funksionit të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logaritjes së energjisë në kufi të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CCU-së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jësia ose njësitë të cilave u është besuar funksioni i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logaritjes së energjisë në kufi të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duhet të zbatojnë funksionin e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ogaritjes së energjisë në kufi të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CCU-së.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gjithë TSO-të e SA CE do të zbatojnë lidhjet e tyre me funksionin e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logaritjes së energjisë në kufi të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nëse është e nevojshme;</w:t>
      </w:r>
    </w:p>
    <w:p w14:paraId="3345CC08" w14:textId="097A8183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batimi i funksionit të shlyerjes së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CCU-së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jësia ose njësitë të cilave u është besuar funksioni i shlyerjes së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duhet të zbatojnë funksionin e shlyerjes së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CCU-së.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Të gjithë TSO-të e SA CE duhet të zbatojnë lidhjet e tyre me funksionin e shlye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rjes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nëse është e nevojshme;</w:t>
      </w:r>
    </w:p>
    <w:p w14:paraId="17B11F62" w14:textId="631AD062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batimi i detyrave të faturimit të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CCU-së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jësia ose njësitë të cilave u është besuar detyra e faturimit të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duhet të zbatojnë detyrat e faturimit të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CCU-së.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Të gjitha lidhjet e nevojshm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 duhet të jenë të konfiguruara;</w:t>
      </w:r>
    </w:p>
    <w:p w14:paraId="010DA93A" w14:textId="3AB97BD8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estimi: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gjithë TSO-të e SA CE do të testojnë ndërlidhjet me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logaritjen e energjisë në kufi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CCU-së,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funksionin e shlyerjes së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nëse është e zbatueshme, detyrën e faturimit të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CCU-së; </w:t>
      </w:r>
    </w:p>
    <w:p w14:paraId="0421D982" w14:textId="09C9CD1D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ohë re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e: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ëse të gjitha testimet në përputhje me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4 (2) (f)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kësaj CCU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jenë të suksesshme, shlyerja e përbashk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ët do të vazhdojë në kohë reale;</w:t>
      </w:r>
    </w:p>
    <w:p w14:paraId="21A215FD" w14:textId="54B5961A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h)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ekanizmi i rishikimit: 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as implementimit të këtyre rregullave të përbashkëta të shlyerjes, një mekanizëm shqyrtimi fillon nga fundi i vitit 2022, në të cilin TSO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-të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SA</w:t>
      </w:r>
      <w:r w:rsidR="00203DF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CE do të shqyrtojnë CCU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02FB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Një rishikim do të bëhet të paktën çdo tre vjet pas shqyrtimit të parë të duhur deri në fund të vitit 2022. Në mekanizmin e rishikimit, mundësia për evoluimin e çmimeve të balancimit në vend të çmimeve të tregut të ditës së ardhshme do të vlerësohet. Përveç kësaj, mekanizmi i rishikimit mund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të prekë, për shembull, parametrat e rregullave të çmimeve të përshkruara në nenin 8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kësaj CCU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 por edhe detaje teknike si grumbullimi i të dhënave. Çdo ndryshim në CCU duhet të dorëzohet nga autoritetet përkatëse rregullatore për miratim.</w:t>
      </w:r>
    </w:p>
    <w:p w14:paraId="62324E01" w14:textId="73B9169D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gjitha funksionet e shlyerjes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pajtim me nenet 19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22 të EBGL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marrin parasysh se vëllimet e shkëmbimeve të qëllimshme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energjisë mund të duhet të dorëzohen në një zgjidhje tjetër kohore nëse ndryshohet periudha e shlyerjes TSO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TSO për shkëmbimet e energjisë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paqëllimshme.</w:t>
      </w:r>
    </w:p>
    <w:p w14:paraId="755BBC09" w14:textId="77777777" w:rsidR="00843EFE" w:rsidRPr="008D0C28" w:rsidRDefault="00843EFE" w:rsidP="00843EFE">
      <w:pPr>
        <w:pStyle w:val="AAATEETE"/>
        <w:jc w:val="center"/>
        <w:rPr>
          <w:lang w:val="sq-AL"/>
        </w:rPr>
      </w:pPr>
    </w:p>
    <w:p w14:paraId="3EE754AB" w14:textId="77777777" w:rsidR="00843EFE" w:rsidRPr="008D0C28" w:rsidRDefault="00843EFE" w:rsidP="00843EFE">
      <w:pPr>
        <w:pStyle w:val="AAATEETE"/>
        <w:jc w:val="center"/>
        <w:rPr>
          <w:bCs/>
          <w:lang w:val="sq-AL"/>
        </w:rPr>
      </w:pPr>
      <w:r w:rsidRPr="008D0C28">
        <w:rPr>
          <w:bCs/>
          <w:lang w:val="sq-AL"/>
        </w:rPr>
        <w:t>Neni 5</w:t>
      </w:r>
    </w:p>
    <w:p w14:paraId="4BA7ED40" w14:textId="5B49A253" w:rsidR="00843EFE" w:rsidRPr="008D0C28" w:rsidRDefault="00843EFE" w:rsidP="00843EFE">
      <w:pPr>
        <w:pStyle w:val="AAATEETE"/>
        <w:jc w:val="center"/>
        <w:rPr>
          <w:b/>
          <w:bCs/>
          <w:lang w:val="sq-AL"/>
        </w:rPr>
      </w:pPr>
      <w:r w:rsidRPr="008D0C28">
        <w:rPr>
          <w:b/>
          <w:bCs/>
          <w:lang w:val="sq-AL"/>
        </w:rPr>
        <w:t>Funksionet e shlyerjes së përbashkët</w:t>
      </w:r>
    </w:p>
    <w:p w14:paraId="044594E2" w14:textId="77777777" w:rsidR="00843EFE" w:rsidRPr="008D0C28" w:rsidRDefault="00843EFE" w:rsidP="00843EFE">
      <w:pPr>
        <w:pStyle w:val="AAATEETE"/>
        <w:jc w:val="center"/>
        <w:rPr>
          <w:b/>
          <w:bCs/>
          <w:lang w:val="sq-AL"/>
        </w:rPr>
      </w:pPr>
    </w:p>
    <w:p w14:paraId="7C6D5367" w14:textId="69532E51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Shlyerja e përbashkët në pajtim me këtë CCU do të përbëhet nga funksioni i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ogaritjes së energjisë në kufi të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CCU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funksioni i shlyerjes së CCU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9258431" w14:textId="7A885794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Qëllimi i funksionit të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logaritjes së energjisë në kufi të CCU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llogaritja e shkëmbimeve të energjisë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paqëllimshme, për çdo periudhë të shlyerjes TSO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TSO brenda SA CE, në përputhje me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3 të kësaj CCU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F4D0352" w14:textId="0566F7EA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Qëllimi i funksionit të shlyerjes së CCU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llogaritja e çmimit për shkëmbimin e paqëllimshëm të energjisë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secilën periudhë të shlyerjes TSO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flukseve financiare midis të gjitha blloqeve LFC ose zonave LFC në SA CE si rezultat i shmangies së shkëmbimeve të paqëllimshme të energjisë për çdo periudhë shlyerje të TSO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TSO, në përputhje me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3 të kësaj CCU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885517B" w14:textId="77777777" w:rsidR="00843EFE" w:rsidRPr="008D0C28" w:rsidRDefault="00843EFE" w:rsidP="00607990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6</w:t>
      </w:r>
    </w:p>
    <w:p w14:paraId="3D93BCB7" w14:textId="77777777" w:rsidR="00843EFE" w:rsidRPr="008D0C28" w:rsidRDefault="00843EFE" w:rsidP="00607990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Periudha e shlyerjes</w:t>
      </w:r>
    </w:p>
    <w:p w14:paraId="67BB9AEF" w14:textId="77777777" w:rsidR="00843EFE" w:rsidRPr="008D0C28" w:rsidRDefault="00843EFE" w:rsidP="00607990">
      <w:pPr>
        <w:pStyle w:val="AAATEETE"/>
        <w:rPr>
          <w:lang w:val="sq-AL"/>
        </w:rPr>
      </w:pPr>
    </w:p>
    <w:p w14:paraId="2333B697" w14:textId="5FD4FE0F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Periudha e shlyerjes TSO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 është caktuar të jetë 15 minuta.</w:t>
      </w:r>
    </w:p>
    <w:p w14:paraId="11F08AB0" w14:textId="1F627719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Periudha e shlyerjes TSO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 të çdo dite fillon menjëherë pas orës 00:00. Periudhat e shlyerjes TSO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 do të jenë të njëpasnjëshme dhe jo të mbivendosura.</w:t>
      </w:r>
    </w:p>
    <w:p w14:paraId="54052E85" w14:textId="77777777" w:rsidR="00843EFE" w:rsidRPr="008D0C28" w:rsidRDefault="00843EFE" w:rsidP="00607990">
      <w:pPr>
        <w:pStyle w:val="AAATEETE"/>
        <w:jc w:val="center"/>
        <w:rPr>
          <w:lang w:val="sq-AL"/>
        </w:rPr>
      </w:pPr>
    </w:p>
    <w:p w14:paraId="65D68113" w14:textId="77777777" w:rsidR="00843EFE" w:rsidRPr="008D0C28" w:rsidRDefault="00843EFE" w:rsidP="00607990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7</w:t>
      </w:r>
    </w:p>
    <w:p w14:paraId="7122B128" w14:textId="616BAD54" w:rsidR="00843EFE" w:rsidRPr="008D0C28" w:rsidRDefault="00843EFE" w:rsidP="00607990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 xml:space="preserve">Përcaktimi i volumit </w:t>
      </w:r>
      <w:r w:rsidR="00D54E67" w:rsidRPr="008D0C28">
        <w:rPr>
          <w:b/>
          <w:lang w:val="sq-AL"/>
        </w:rPr>
        <w:t>për periudhën e shlyerjes TSO–</w:t>
      </w:r>
      <w:r w:rsidRPr="008D0C28">
        <w:rPr>
          <w:b/>
          <w:lang w:val="sq-AL"/>
        </w:rPr>
        <w:t>TSO</w:t>
      </w:r>
    </w:p>
    <w:p w14:paraId="5AF34404" w14:textId="77777777" w:rsidR="00843EFE" w:rsidRPr="008D0C28" w:rsidRDefault="00843EFE" w:rsidP="00607990">
      <w:pPr>
        <w:pStyle w:val="AAATEETE"/>
        <w:jc w:val="center"/>
        <w:rPr>
          <w:lang w:val="sq-AL"/>
        </w:rPr>
      </w:pPr>
    </w:p>
    <w:p w14:paraId="41852A4A" w14:textId="512E09C0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1)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Vëllimet e shkëmbimeve të energjisë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parashikuara në përputhje me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enet 50 (1) dhe 50 (3)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EBGL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përcaktuar si më poshtë:</w:t>
      </w:r>
    </w:p>
    <w:p w14:paraId="2CB434BF" w14:textId="79482EDC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ëllimi i shkëmbimeve të qëllimshme të energjisë si rezultat i procesit të zëvendësimit të rezervës sipas 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enit 50 (1) (a) të EBGL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i përfshirë në oraret e jashtme neto të mbledhura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8585164" w14:textId="4785F656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ëllimi i shkëmbimeve të qëllimshme të energjisë si rezultat i procesit të restaurimit të frekuencave me aktivizimin manual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enit 50 (1) (b) të EBGL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i barabartë me vëllimin e raportuar në oraret 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 jashtme neto të mbledhura dhe/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ose të dhënat e 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logaritjes së energjisë në kufi nga TSO-të e zonave LFC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F37202E" w14:textId="6319ACE9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ëllimi i shkëmbimeve të qëllimshme të energjisë si rezultat i procesit të restaurimit të frekuencave me aktivizim automatik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enit 50 (1) (c) të EBGL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i barabartë me volumin e raportuar në të dhënat e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logaritjes së energjisë në kufi nga TSO-të e zonave LFC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0DA36B0" w14:textId="20CEDCF4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ëllimi i shkëmbimeve të qëllimshme të energjisë si rezultat i procesit të netimit të disbalancave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enit 50 (1) (d) të EBGL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i barabartë me volumin e raportuar në të dhënat e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logaritjes së energjisë në kufi nga TSO-të e zonave LFC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E70DDB2" w14:textId="4BA3426F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ëllimi i shkëmbimeve të qëllimshme të energjisë si rezultat i procesit të mbajtjes së frekuencës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enit 50 (3) (a) të EBGL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llogaritur nga funksioni i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logaritjes së energjisë në kufi CCFR për secilin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bllok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periudhën e shlyerjes TSO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TSO si produkti i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faktorit </w:t>
      </w:r>
      <w:r w:rsidRPr="008D0C2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k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njoftuar dhe devijimit të frekuencës mesatare për atë periudhë të shlyerjes TSO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TSO, në përputhje me CCFR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-në;</w:t>
      </w:r>
    </w:p>
    <w:p w14:paraId="2AF5D4C0" w14:textId="5A75AE9B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ëllimi i shkëmbimeve të qëllimshme të energjisë si rezultat i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402B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eriudhës së ndryshimit (rritje/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ulje)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enit 50 (3) (b) të EBGL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nenit 136 të SOGL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llogaritur nga funksioni i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logaritjes së energjisë në kufi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CCFR,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secilin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bllok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për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eriudhën e shlyerjes TSO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TSO, në pajtim me CCFR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-në;</w:t>
      </w:r>
    </w:p>
    <w:p w14:paraId="33EF907C" w14:textId="3B19801D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ëllimi i shkëmbimeve të qëllimshme të energjisë si rezultat i marrëveshjeve dypalëshe ose shumëpalëshe nëpërmjet vijave virtuale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cilat nuk mbulohen nga pikat e mëparshme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i barabartë me volumin e raportuar në të dhënat e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logaritjes së energjisë në kufi nga TSO-të e zonave përkatëse LFC.</w:t>
      </w:r>
    </w:p>
    <w:p w14:paraId="0886AA82" w14:textId="7BB6966A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Vëllimi i shkëmbimeve të paqëllimshme të energjisë sipas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enit 51 (1) të EBGL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llogaritur,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çdo bllok LFC-je ose zonë LFC-je 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për periudhën e shlyerjes TSO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TSO, si diferencë midis shkëmbimeve të energjisë sipas të dhënave të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logaritjes së energjisë në kufi dhe shumës së ANES-it dhe të gjitha shkëmbimeve të energjisë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synuara si rezultat i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402BBA">
        <w:rPr>
          <w:rFonts w:ascii="Garamond" w:hAnsi="Garamond" w:cs="Times New Roman"/>
          <w:color w:val="000000"/>
          <w:sz w:val="24"/>
          <w:szCs w:val="24"/>
          <w:lang w:val="sq-AL"/>
        </w:rPr>
        <w:t>enet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50 (1) dhe 50 (3) të LBGL-së dhe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enit 7 (1) të kësaj CCU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147FF51" w14:textId="77777777" w:rsidR="00843EFE" w:rsidRPr="008D0C28" w:rsidRDefault="00843EFE" w:rsidP="00607990">
      <w:pPr>
        <w:pStyle w:val="AAATEETE"/>
        <w:jc w:val="center"/>
        <w:rPr>
          <w:lang w:val="sq-AL"/>
        </w:rPr>
      </w:pPr>
    </w:p>
    <w:p w14:paraId="321A81D8" w14:textId="77777777" w:rsidR="00843EFE" w:rsidRPr="008D0C28" w:rsidRDefault="00843EFE" w:rsidP="00607990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8</w:t>
      </w:r>
    </w:p>
    <w:p w14:paraId="3DF416E2" w14:textId="376EB53D" w:rsidR="00843EFE" w:rsidRPr="008D0C28" w:rsidRDefault="00843EFE" w:rsidP="00607990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Rregullat</w:t>
      </w:r>
      <w:r w:rsidR="00D54E67" w:rsidRPr="008D0C28">
        <w:rPr>
          <w:b/>
          <w:lang w:val="sq-AL"/>
        </w:rPr>
        <w:t xml:space="preserve"> e tarifimit për shkëmbimet TSO–</w:t>
      </w:r>
      <w:r w:rsidRPr="008D0C28">
        <w:rPr>
          <w:b/>
          <w:lang w:val="sq-AL"/>
        </w:rPr>
        <w:t>TSO brenda SA CE</w:t>
      </w:r>
    </w:p>
    <w:p w14:paraId="581EA6A7" w14:textId="77777777" w:rsidR="00843EFE" w:rsidRPr="008D0C28" w:rsidRDefault="00843EFE" w:rsidP="00607990">
      <w:pPr>
        <w:pStyle w:val="AAATEETE"/>
        <w:rPr>
          <w:lang w:val="sq-AL"/>
        </w:rPr>
      </w:pPr>
    </w:p>
    <w:p w14:paraId="2AEC4A9B" w14:textId="1C475669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Çmimi për shkëmbimin e energjisë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së pa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qëllimshme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51 (1) të EBGL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llogaritet nga njësia ekonomike e ngarkuar me funksionin e shlyerjes së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CCU-së 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si shuma e kom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ponentëve të mëposhtëm në EUR/m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>w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h për periudhën e shlyerjes</w:t>
      </w:r>
      <w:r w:rsidR="00203DF1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–TSO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45F6F267" w14:textId="3D8294B9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jë komponent i çmimit referues i llogaritur për çdo periudhë të caktuar të shlyerjes TSO-TSO si çmim mesatar i ponderuar i tregut të ditës së mëparshme të të gjitha blloqeve LFC brenda SA CE për atë periudhë të shlyerjes TSO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TSO, e matur me vlerën absolute të shumës së shkëmbimeve të qëllimshme të energjisë në përputhje me </w:t>
      </w:r>
      <w:r w:rsidR="002A31FA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50 (3) (a) të EBGL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shkëmbimeve të paqëllimshme të energjisë sipas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enit 51 (1)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EBGL-së, të secilit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bllok LFC-je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DBE27F2" w14:textId="2723F62D" w:rsidR="00843EFE" w:rsidRPr="008D0C28" w:rsidRDefault="00C605D6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o të zbatohen rregullat e mëposhtme:</w:t>
      </w:r>
    </w:p>
    <w:p w14:paraId="730F302C" w14:textId="517170DD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rast se ka më shumë se një çmim të tregut të një ditë më parë për bllokun LFC për atë periudhë të shlyerje TSO-TSO, një çmim mesatar i ponderuar llogaritet nga njësia së cilës i është besuar funksioni i shlyerjes dhe përdoret </w:t>
      </w:r>
      <w:r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në 8 (1) (a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) për bllokun përkatës LFC. Çmimi mesatar i ponderuar i një blloku LFC llogaritet duke ponderuar çmimet e tregut të ditës së mëparshme të zonave LFC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atë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bllok LFC-je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faktorin përkatës </w:t>
      </w:r>
      <w:r w:rsidRPr="008D0C2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k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njoftuar të secilës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Nëse nuk ka çmim të tregut për një ditë më parë në një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bllokut LFC, kjo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konsiderohet për llogaritjen e çmimit mesa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tar të ponderuar të bllokut LFC;</w:t>
      </w:r>
    </w:p>
    <w:p w14:paraId="28B81035" w14:textId="11B42A03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rast se ka më shumë se një çmim të tregut të një dite më parë në një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zonë LFC-je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atë periudhë të shlyerjes TSO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TSO, TSO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vepron në zonën LFC mund të vendosë se cilin çmim ose çmime do të përdorë për përcaktimin e çmimit të tregut të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ditës së mëparshme të zonës LFC;</w:t>
      </w:r>
    </w:p>
    <w:p w14:paraId="38527D6C" w14:textId="23DE9F03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rast se nuk ka një çmim të tregu të ditës së mëparshme në një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bllok LFC-je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për atë periudhë të caktuar të shlyerjes TSO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TSO, çmimi i shlyerjes së disbalancave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atë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bllok LFC-je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atë periudhë të caktuar të shlyerjes TSO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përdoret në </w:t>
      </w:r>
      <w:r w:rsidR="0084019B"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enin 8 (1) (a)</w:t>
      </w:r>
      <w:r w:rsidR="0084019B"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vend të një çmimi të tregut për një ditë më parë. Në rastin e çmimeve të dyfish</w:t>
      </w:r>
      <w:r w:rsidR="00D54E67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ta, llogaritet një çmim mesatar;</w:t>
      </w:r>
    </w:p>
    <w:p w14:paraId="4FA26C9A" w14:textId="02E767D8" w:rsidR="00843EFE" w:rsidRPr="008D0C28" w:rsidRDefault="008151D6" w:rsidP="00607990">
      <w:pPr>
        <w:pStyle w:val="AAATEETE"/>
        <w:rPr>
          <w:lang w:val="sq-AL"/>
        </w:rPr>
      </w:pPr>
      <w:r>
        <w:rPr>
          <w:lang w:val="sq-AL"/>
        </w:rPr>
        <w:t>b) N</w:t>
      </w:r>
      <w:bookmarkStart w:id="1" w:name="_GoBack"/>
      <w:bookmarkEnd w:id="1"/>
      <w:r w:rsidR="00843EFE" w:rsidRPr="008D0C28">
        <w:rPr>
          <w:lang w:val="sq-AL"/>
        </w:rPr>
        <w:t>jë komponent i varur nga frekuenca, i zbatueshëm vetëm nëse vlera absolute e devijimit mesatar të frekuencës mbi periudhën e shlyerjes TSO</w:t>
      </w:r>
      <w:r w:rsidR="0084019B" w:rsidRPr="008D0C28">
        <w:rPr>
          <w:lang w:val="sq-AL"/>
        </w:rPr>
        <w:t>–</w:t>
      </w:r>
      <w:r w:rsidR="00843EFE" w:rsidRPr="008D0C28">
        <w:rPr>
          <w:lang w:val="sq-AL"/>
        </w:rPr>
        <w:t>TSO tejkalon vlerën absolute të vlerës minimale të pragut (20 mHz). Komponenti i varur nga frekuenca llogaritet si funksion i devijimit mesatar të frekuencës për secilën periudhë të shlyerjes TSO</w:t>
      </w:r>
      <w:r w:rsidR="0084019B" w:rsidRPr="008D0C28">
        <w:rPr>
          <w:lang w:val="sq-AL"/>
        </w:rPr>
        <w:t>–</w:t>
      </w:r>
      <w:r w:rsidR="00843EFE" w:rsidRPr="008D0C28">
        <w:rPr>
          <w:lang w:val="sq-AL"/>
        </w:rPr>
        <w:t>TSO, duke përdorur një pjerrësi ndërmjet kufirit minimal dhe pragut maksimal (dy (2) EUR/</w:t>
      </w:r>
      <w:r w:rsidR="0084019B" w:rsidRPr="008D0C28">
        <w:rPr>
          <w:lang w:val="sq-AL"/>
        </w:rPr>
        <w:t>mw</w:t>
      </w:r>
      <w:r w:rsidR="00843EFE" w:rsidRPr="008D0C28">
        <w:rPr>
          <w:lang w:val="sq-AL"/>
        </w:rPr>
        <w:t>h/mHz). Do të zbatohen rregullat e mëposhtme:</w:t>
      </w:r>
    </w:p>
    <w:p w14:paraId="252D3E04" w14:textId="4B58A513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i. 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lera absolute e vlerës minimale të pragut 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është 20 mHz;</w:t>
      </w:r>
    </w:p>
    <w:p w14:paraId="53B0F2C6" w14:textId="77D65729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lera absolute e vlerës maksimale të pragut është 100 mHz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65E6F2B" w14:textId="16BE2659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jerrësia është dy (2) EUR/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h/mHz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FDBAB46" w14:textId="798E9275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iv. 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rast të një devijimi mesatar pozitiv të frekuencës që tejkalon vlerën minimale të pragut në drejtim pozitiv (+20 mHz), por që nuk tejkalon vlerën maksimale të pragut në drejtim pozitiv (+100 mHz), ky funksion zbatohet për devijimin mesatar të frekuencës 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zvogëluar me vlerën absolute të vle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rës minimale të pragut (20 mHz);</w:t>
      </w:r>
    </w:p>
    <w:p w14:paraId="1946706D" w14:textId="6D90B76E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rast të një devijimi mesatar negativ të frekuencës që tejkalon vlerën minimale të pragut në drejtim negativ (-20 mHz), por që nuk tejkalon vlerën maksimale 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të pragut në drejtim negativ (-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100 mHz), ky funksion aplikohet në devijimin e frekuencës 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rritur me vlerën absolute të vlerës minimale të pragut (20 mHz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);</w:t>
      </w:r>
    </w:p>
    <w:p w14:paraId="3E53D0D3" w14:textId="697445FE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vi. 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rastin e një devijimi mesatar pozitiv të frekuencës që tejkalon pragun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maksimal në drejtim pozitiv (+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100 mHz), komponenti i varur nga frekuenca vendoset si komponent i varur nga frekuenca e llogaritur në një devijim të frekuencës së vlerës maksimale të pragut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drejtim pozitiv (+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100 mHz);</w:t>
      </w:r>
    </w:p>
    <w:p w14:paraId="307F1694" w14:textId="0C4A06F9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vii. 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rastin e një devijimi negativ të frekuencës që tejkalon pragun maksimal në drejtim negativ (-100 mHz), komponenti i varur nga frekuenca përcaktohet si komponent i varur nga frekuenca e llogaritur në një devijim të frekuencës së vlerës së pragut maksimal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drejtim negativ (-100 mHz);</w:t>
      </w:r>
    </w:p>
    <w:p w14:paraId="16920323" w14:textId="6D790941" w:rsidR="00843EFE" w:rsidRPr="008D0C28" w:rsidRDefault="00843EFE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viii. </w:t>
      </w:r>
      <w:r w:rsidR="004413D3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 rastin e një sistemi HVDC që lidh dy TSO</w:t>
      </w:r>
      <w:r w:rsidR="00B520A6">
        <w:rPr>
          <w:rFonts w:ascii="Garamond" w:hAnsi="Garamond" w:cs="Times New Roman"/>
          <w:color w:val="000000"/>
          <w:sz w:val="24"/>
          <w:szCs w:val="24"/>
          <w:lang w:val="sq-AL"/>
        </w:rPr>
        <w:t>-të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SA CE, komponenti i varur nga frekuenca mund të mos jetë i zbatueshëm.</w:t>
      </w:r>
    </w:p>
    <w:p w14:paraId="7A8F013F" w14:textId="7E6B8A91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43EFE"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nenit 51 (1) (a) të EBGL</w:t>
      </w:r>
      <w:r w:rsidR="0084019B"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, çmimi për shkëmbimin e energjisë të paqëllimshme duhet të pasqyrojë çmimin për energjinë balancuese. Sipas nenit 8 (1) (a) të kësaj CCU</w:t>
      </w:r>
      <w:r w:rsidR="0084019B"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="00843EFE"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çmimet e tregut të njëpasnjëshme, të cilat pasqyrojnë çmimet e balancimit, përdoren si një përbërës për të përcaktuar çmimin për shkëmbimet e energjisë të paqëllimshme. Të gjithë TSO-të e SA CE mund t’u propozojnë autoriteteve përkatëse rregullatore që të përdorin çmimet e balancimit në vend të çmimeve të tregut të ditës së mëparshme në përputhje me mekanizmin e rishikimit në përputhje me </w:t>
      </w:r>
      <w:r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43EFE"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enin 4 (2) (h) të kësaj CCU</w:t>
      </w:r>
      <w:r w:rsidR="0084019B"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="00843EFE" w:rsidRPr="00EB624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B2FBC2E" w14:textId="430B0C67" w:rsidR="00843EFE" w:rsidRPr="008D0C28" w:rsidRDefault="002A31FA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rast të ndarjes së rrjetit me më shumë se një 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bllok LFC-je 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të shkëputur, komponenti i varur nga frekuenca vendoset për secilën periudhë të shlyerjes TSO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 gjatë asaj ndar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je të rrjetit në zero (0) EUR/mwh/mHz për periudhë shlyerje TSO–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TSO.</w:t>
      </w:r>
    </w:p>
    <w:p w14:paraId="4D26DF52" w14:textId="77777777" w:rsidR="00607990" w:rsidRPr="008D0C28" w:rsidRDefault="00607990" w:rsidP="00843E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15318EF" w14:textId="77777777" w:rsidR="00843EFE" w:rsidRPr="008D0C28" w:rsidRDefault="00843EFE" w:rsidP="00607990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9</w:t>
      </w:r>
    </w:p>
    <w:p w14:paraId="7BF07C10" w14:textId="5073AAD7" w:rsidR="00843EFE" w:rsidRPr="008D0C28" w:rsidRDefault="00843EFE" w:rsidP="00607990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 xml:space="preserve">Botimi dhe zbatimi i </w:t>
      </w:r>
      <w:r w:rsidR="00FF6796">
        <w:rPr>
          <w:b/>
          <w:lang w:val="sq-AL"/>
        </w:rPr>
        <w:t xml:space="preserve">CCU-së </w:t>
      </w:r>
    </w:p>
    <w:p w14:paraId="53D45996" w14:textId="77777777" w:rsidR="00843EFE" w:rsidRPr="008D0C28" w:rsidRDefault="00843EFE" w:rsidP="00607990">
      <w:pPr>
        <w:pStyle w:val="AAATEETE"/>
        <w:rPr>
          <w:lang w:val="sq-AL"/>
        </w:rPr>
      </w:pPr>
    </w:p>
    <w:p w14:paraId="147DBF5D" w14:textId="076EAD18" w:rsidR="00843EFE" w:rsidRPr="008D0C28" w:rsidRDefault="002A31FA" w:rsidP="00843EF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gjithë TSO-të e SA CE do të publikojnë CCU</w:t>
      </w:r>
      <w:r w:rsidR="00EB624B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 vonesa të panevojshme pasi të gjitha autoritetet rregullatore relevante të SA CE të kenë miratuar CCU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propozuar ose është marrë një vendim nga ACER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-i,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enet 5 (7), 6 (1) dhe 6 (2) të EBGL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7230D88" w14:textId="69F47E63" w:rsidR="00843EFE" w:rsidRPr="008D0C28" w:rsidRDefault="002A31FA" w:rsidP="00843EF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Të gjitha TSO-të e SA CE duhet të zbatojnë CCU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FF6796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4 të kësaj CCU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="00843EFE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957CA33" w14:textId="77777777" w:rsidR="002A31FA" w:rsidRPr="008D0C28" w:rsidRDefault="002A31FA" w:rsidP="00843EF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9F0DE0" w14:textId="77777777" w:rsidR="00843EFE" w:rsidRPr="008D0C28" w:rsidRDefault="00843EFE" w:rsidP="00607990">
      <w:pPr>
        <w:pStyle w:val="AAATEETE"/>
        <w:jc w:val="center"/>
        <w:rPr>
          <w:lang w:val="sq-AL"/>
        </w:rPr>
      </w:pPr>
      <w:r w:rsidRPr="008D0C28">
        <w:rPr>
          <w:lang w:val="sq-AL"/>
        </w:rPr>
        <w:t>Neni 10</w:t>
      </w:r>
    </w:p>
    <w:p w14:paraId="53E41694" w14:textId="77777777" w:rsidR="00843EFE" w:rsidRPr="008D0C28" w:rsidRDefault="00843EFE" w:rsidP="00607990">
      <w:pPr>
        <w:pStyle w:val="AAATEETE"/>
        <w:jc w:val="center"/>
        <w:rPr>
          <w:b/>
          <w:lang w:val="sq-AL"/>
        </w:rPr>
      </w:pPr>
      <w:r w:rsidRPr="008D0C28">
        <w:rPr>
          <w:b/>
          <w:lang w:val="sq-AL"/>
        </w:rPr>
        <w:t>Gjuha</w:t>
      </w:r>
    </w:p>
    <w:p w14:paraId="7042FB30" w14:textId="77777777" w:rsidR="00843EFE" w:rsidRPr="008D0C28" w:rsidRDefault="00843EFE" w:rsidP="00607990">
      <w:pPr>
        <w:pStyle w:val="AAATEETE"/>
        <w:jc w:val="center"/>
        <w:rPr>
          <w:lang w:val="sq-AL"/>
        </w:rPr>
      </w:pPr>
    </w:p>
    <w:p w14:paraId="2625E859" w14:textId="5520FB4E" w:rsidR="000D17C0" w:rsidRPr="008D0C28" w:rsidRDefault="00843EFE" w:rsidP="006079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Gjuha e referencës për këtë propozim do të jetë gjuha angleze. Për shmangien e dyshimit, kur TSO-të duhet të përkthejnë këtë propozim në gjuhën e tyre kombëtare, në rast të mospërputhjeve midis versionit anglisht të botuar nga TSO-të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enin 7 të EBGL</w:t>
      </w:r>
      <w:r w:rsidR="0084019B"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D0C2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çdo versioni në një gjuhë tjetër, TSO-të, në përputhje me legjislacionin kombëtar, do t’u sigurojnë autoriteteve përkatëse kombëtare rregullatore një përkthim të përditësuar të propozimit.</w:t>
      </w:r>
    </w:p>
    <w:sectPr w:rsidR="000D17C0" w:rsidRPr="008D0C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B249C"/>
    <w:multiLevelType w:val="hybridMultilevel"/>
    <w:tmpl w:val="8D2E7E7A"/>
    <w:lvl w:ilvl="0" w:tplc="2B3AB47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AA0"/>
    <w:rsid w:val="00002FB1"/>
    <w:rsid w:val="00057BF9"/>
    <w:rsid w:val="000D17C0"/>
    <w:rsid w:val="00203DF1"/>
    <w:rsid w:val="00221F74"/>
    <w:rsid w:val="00246FDC"/>
    <w:rsid w:val="002A31FA"/>
    <w:rsid w:val="002B0599"/>
    <w:rsid w:val="00402BBA"/>
    <w:rsid w:val="004413D3"/>
    <w:rsid w:val="004C0C39"/>
    <w:rsid w:val="00540B54"/>
    <w:rsid w:val="005C385E"/>
    <w:rsid w:val="00607990"/>
    <w:rsid w:val="006D5768"/>
    <w:rsid w:val="006F0AA0"/>
    <w:rsid w:val="00702327"/>
    <w:rsid w:val="00725991"/>
    <w:rsid w:val="00765DA0"/>
    <w:rsid w:val="008151D6"/>
    <w:rsid w:val="0084019B"/>
    <w:rsid w:val="00843EFE"/>
    <w:rsid w:val="008D0C28"/>
    <w:rsid w:val="00937947"/>
    <w:rsid w:val="00A81DBB"/>
    <w:rsid w:val="00B40A80"/>
    <w:rsid w:val="00B520A6"/>
    <w:rsid w:val="00C605D6"/>
    <w:rsid w:val="00C843E9"/>
    <w:rsid w:val="00CB0860"/>
    <w:rsid w:val="00D54E67"/>
    <w:rsid w:val="00D63CED"/>
    <w:rsid w:val="00E72885"/>
    <w:rsid w:val="00EB624B"/>
    <w:rsid w:val="00EE1AE5"/>
    <w:rsid w:val="00EF21EE"/>
    <w:rsid w:val="00FC7434"/>
    <w:rsid w:val="00FF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96335"/>
  <w15:docId w15:val="{A6150040-7950-460A-9117-A46D916EE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25991"/>
    <w:pPr>
      <w:ind w:left="720"/>
      <w:contextualSpacing/>
    </w:pPr>
  </w:style>
  <w:style w:type="paragraph" w:customStyle="1" w:styleId="headline2">
    <w:name w:val="headline 2"/>
    <w:uiPriority w:val="99"/>
    <w:rsid w:val="00057BF9"/>
    <w:pPr>
      <w:keepNext/>
      <w:keepLines/>
      <w:autoSpaceDE w:val="0"/>
      <w:autoSpaceDN w:val="0"/>
      <w:adjustRightInd w:val="0"/>
      <w:spacing w:after="120" w:line="260" w:lineRule="atLeast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TOC2">
    <w:name w:val="toc 2"/>
    <w:basedOn w:val="Normal"/>
    <w:next w:val="Normal"/>
    <w:uiPriority w:val="99"/>
    <w:rsid w:val="00057BF9"/>
    <w:pPr>
      <w:autoSpaceDE w:val="0"/>
      <w:autoSpaceDN w:val="0"/>
      <w:adjustRightInd w:val="0"/>
      <w:spacing w:after="100" w:line="302" w:lineRule="atLeast"/>
      <w:ind w:left="220"/>
    </w:pPr>
    <w:rPr>
      <w:rFonts w:ascii="Calibri" w:hAnsi="Calibri" w:cs="Calibri"/>
      <w:color w:val="000000"/>
    </w:rPr>
  </w:style>
  <w:style w:type="paragraph" w:customStyle="1" w:styleId="textheader">
    <w:name w:val="text header"/>
    <w:uiPriority w:val="99"/>
    <w:rsid w:val="00057BF9"/>
    <w:pPr>
      <w:autoSpaceDE w:val="0"/>
      <w:autoSpaceDN w:val="0"/>
      <w:adjustRightInd w:val="0"/>
      <w:spacing w:after="400" w:line="500" w:lineRule="atLeast"/>
    </w:pPr>
    <w:rPr>
      <w:rFonts w:ascii="Times New Roman" w:hAnsi="Times New Roman" w:cs="Times New Roman"/>
      <w:color w:val="000000"/>
      <w:sz w:val="40"/>
      <w:szCs w:val="40"/>
    </w:rPr>
  </w:style>
  <w:style w:type="paragraph" w:customStyle="1" w:styleId="time">
    <w:name w:val="time"/>
    <w:uiPriority w:val="99"/>
    <w:rsid w:val="00057BF9"/>
    <w:pPr>
      <w:autoSpaceDE w:val="0"/>
      <w:autoSpaceDN w:val="0"/>
      <w:adjustRightInd w:val="0"/>
      <w:spacing w:after="0" w:line="320" w:lineRule="atLeast"/>
    </w:pPr>
    <w:rPr>
      <w:rFonts w:ascii="Times New Roman" w:hAnsi="Times New Roman" w:cs="Times New Roman"/>
      <w:color w:val="000000"/>
      <w:sz w:val="29"/>
      <w:szCs w:val="29"/>
    </w:rPr>
  </w:style>
  <w:style w:type="paragraph" w:customStyle="1" w:styleId="headlineheader">
    <w:name w:val="headline header"/>
    <w:uiPriority w:val="99"/>
    <w:rsid w:val="00057BF9"/>
    <w:pPr>
      <w:autoSpaceDE w:val="0"/>
      <w:autoSpaceDN w:val="0"/>
      <w:adjustRightInd w:val="0"/>
      <w:spacing w:after="280" w:line="600" w:lineRule="atLeast"/>
    </w:pPr>
    <w:rPr>
      <w:rFonts w:ascii="Times New Roman" w:hAnsi="Times New Roman" w:cs="Times New Roman"/>
      <w:b/>
      <w:bCs/>
      <w:color w:val="000000"/>
      <w:sz w:val="57"/>
      <w:szCs w:val="57"/>
    </w:rPr>
  </w:style>
  <w:style w:type="paragraph" w:customStyle="1" w:styleId="textregular">
    <w:name w:val="text regular"/>
    <w:basedOn w:val="Normal"/>
    <w:link w:val="textregularZchn"/>
    <w:qFormat/>
    <w:rsid w:val="00843EFE"/>
    <w:pPr>
      <w:spacing w:after="120" w:line="240" w:lineRule="auto"/>
    </w:pPr>
    <w:rPr>
      <w:lang w:val="en-GB"/>
    </w:rPr>
  </w:style>
  <w:style w:type="character" w:customStyle="1" w:styleId="textregularZchn">
    <w:name w:val="text regular Zchn"/>
    <w:basedOn w:val="DefaultParagraphFont"/>
    <w:link w:val="textregular"/>
    <w:locked/>
    <w:rsid w:val="00843EFE"/>
    <w:rPr>
      <w:lang w:val="en-GB"/>
    </w:rPr>
  </w:style>
  <w:style w:type="table" w:customStyle="1" w:styleId="Tabelraster1">
    <w:name w:val="Tabelraster1"/>
    <w:basedOn w:val="TableNormal"/>
    <w:uiPriority w:val="59"/>
    <w:rsid w:val="00843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numeration">
    <w:name w:val="text enumeration"/>
    <w:rsid w:val="00843EFE"/>
    <w:pPr>
      <w:tabs>
        <w:tab w:val="left" w:pos="360"/>
      </w:tabs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color w:val="000000"/>
    </w:rPr>
  </w:style>
  <w:style w:type="paragraph" w:customStyle="1" w:styleId="AAATEETE">
    <w:name w:val="AAATEETE"/>
    <w:basedOn w:val="Normal"/>
    <w:qFormat/>
    <w:rsid w:val="00843EFE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2022-02-01T12:06:14Z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2022-01-30T23:00:00Z</Date_x0020_protokolli>
    <Titulli xmlns="0e656187-b300-4fb0-8bf4-3a50f872073c">Kërkesë për një korrigjim në Vendimin e Bordit të ERE-s nr. 108, datë 22.04.2021</Titulli>
    <Modifikuesi xmlns="0e656187-b300-4fb0-8bf4-3a50f872073c">Fjora.Korita</Modifikuesi>
    <Nr_x002e__x0020_prot_x0020_QBZ xmlns="0e656187-b300-4fb0-8bf4-3a50f872073c">145</Nr_x002e__x0020_prot_x0020_QBZ>
    <Data_x0020_e_x0020_Modifikimit xmlns="0e656187-b300-4fb0-8bf4-3a50f872073c">2022-02-02T11:53:49Z</Data_x0020_e_x0020_Modifikimit>
    <Dekretuar xmlns="0e656187-b300-4fb0-8bf4-3a50f872073c">false</Dekretuar>
    <Data xmlns="0e656187-b300-4fb0-8bf4-3a50f872073c">2022-01-27T23:00:00Z</Data>
    <Nr_x002e__x0020_protokolli_x0020_i_x0020_aktit xmlns="0e656187-b300-4fb0-8bf4-3a50f872073c">40/4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9BF61BEE29406199A071242671CB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67DE0-E7CF-4045-B4B4-42D782E74FFE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E87A2A6-3795-4160-B6B4-FEF53BFEEB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2F28F3-4A94-4DA2-A6B0-1FF61EFB8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AC81DB-38E7-4C49-AEF1-2DED40D69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16</Pages>
  <Words>7675</Words>
  <Characters>43754</Characters>
  <Application>Microsoft Office Word</Application>
  <DocSecurity>0</DocSecurity>
  <Lines>364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një korrigjim në Vendimin e Bordit të ERE-s nr. 108, datë 22.04.2021</vt:lpstr>
    </vt:vector>
  </TitlesOfParts>
  <Company/>
  <LinksUpToDate>false</LinksUpToDate>
  <CharactersWithSpaces>51327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një korrigjim në Vendimin e Bordit të ERE-s nr. 108, datë 22.04.2021</dc:title>
  <dc:creator>Entela Suli</dc:creator>
  <cp:lastModifiedBy>Entela Suli</cp:lastModifiedBy>
  <cp:revision>20</cp:revision>
  <dcterms:created xsi:type="dcterms:W3CDTF">2022-02-01T12:05:00Z</dcterms:created>
  <dcterms:modified xsi:type="dcterms:W3CDTF">2022-02-02T12:12:00Z</dcterms:modified>
</cp:coreProperties>
</file>