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766" w:rsidRDefault="004E2766" w:rsidP="004E2766">
      <w:pPr>
        <w:pStyle w:val="Institucioni"/>
      </w:pPr>
      <w:bookmarkStart w:id="0" w:name="_GoBack"/>
      <w:bookmarkEnd w:id="0"/>
      <w:r>
        <w:t>KëRKESë</w:t>
      </w:r>
    </w:p>
    <w:p w:rsidR="004E2766" w:rsidRPr="001306E2" w:rsidRDefault="004E2766" w:rsidP="004E2766">
      <w:pPr>
        <w:pStyle w:val="Paragrafi0"/>
      </w:pPr>
    </w:p>
    <w:p w:rsidR="004E2766" w:rsidRDefault="004E2766" w:rsidP="004E2766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shtetasi</w:t>
      </w:r>
      <w:r>
        <w:t>t</w:t>
      </w:r>
      <w:r w:rsidRPr="001306E2">
        <w:t xml:space="preserve"> </w:t>
      </w:r>
      <w:r>
        <w:t>Hajrulla Nesimi, i biri i Zeqirit dhe i Sulbijes, i datëlindjes 16.5.1892, banues në Rabdisht, komuna Melan.</w:t>
      </w:r>
    </w:p>
    <w:sectPr w:rsidR="004E27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276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0FDF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2766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0D3FA8-F580-4653-9FA9-D24BF99D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