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E14" w:rsidRDefault="00BD5E14" w:rsidP="00BD5E14">
      <w:pPr>
        <w:pStyle w:val="NumriData"/>
        <w:ind w:firstLine="284"/>
        <w:rPr>
          <w:lang w:val="sq-AL"/>
        </w:rPr>
      </w:pPr>
      <w:bookmarkStart w:id="0" w:name="_GoBack"/>
      <w:r>
        <w:rPr>
          <w:lang w:val="sq-AL"/>
        </w:rPr>
        <w:t>KËRKESË</w:t>
      </w:r>
    </w:p>
    <w:p w:rsidR="00BD5E14" w:rsidRDefault="00BD5E14" w:rsidP="00BD5E14">
      <w:pPr>
        <w:pStyle w:val="NumriData"/>
        <w:ind w:firstLine="284"/>
        <w:rPr>
          <w:lang w:val="sq-AL"/>
        </w:rPr>
      </w:pPr>
      <w:r>
        <w:rPr>
          <w:lang w:val="sq-AL"/>
        </w:rPr>
        <w:t>Nr. 6753/5, datë 30.3.2018</w:t>
      </w:r>
    </w:p>
    <w:p w:rsidR="00BD5E14" w:rsidRDefault="00BD5E14" w:rsidP="00BD5E14">
      <w:pPr>
        <w:pStyle w:val="Hapesira7"/>
        <w:rPr>
          <w:lang w:val="sq-AL"/>
        </w:rPr>
      </w:pPr>
    </w:p>
    <w:p w:rsidR="00BD5E14" w:rsidRDefault="00BD5E14" w:rsidP="00BD5E14">
      <w:pPr>
        <w:pStyle w:val="Titulli"/>
        <w:ind w:firstLine="284"/>
        <w:rPr>
          <w:lang w:val="sq-AL"/>
        </w:rPr>
      </w:pPr>
      <w:r>
        <w:rPr>
          <w:lang w:val="sq-AL"/>
        </w:rPr>
        <w:t>PËR SHPRONËSIM PUBLIK</w:t>
      </w:r>
    </w:p>
    <w:p w:rsidR="00BD5E14" w:rsidRDefault="00BD5E14" w:rsidP="00BD5E14">
      <w:pPr>
        <w:pStyle w:val="Hapesira7"/>
        <w:rPr>
          <w:lang w:val="sq-AL"/>
        </w:rPr>
      </w:pPr>
    </w:p>
    <w:p w:rsidR="00BD5E14" w:rsidRDefault="00BD5E14" w:rsidP="00BD5E14">
      <w:pPr>
        <w:pStyle w:val="Paragrafi"/>
        <w:rPr>
          <w:lang w:val="sq-AL"/>
        </w:rPr>
      </w:pPr>
      <w:r>
        <w:rPr>
          <w:lang w:val="sq-AL"/>
        </w:rPr>
        <w:t>Ministria e Brendshme shpall kërkesën për shpronësim, për interes publik të pasurive të paluajtshme, pronë private, që preken nga realizimi i projektit: “Ndërtim i varrezave të reja”, Bashkia Shkodër.</w:t>
      </w:r>
    </w:p>
    <w:p w:rsidR="00BD5E14" w:rsidRDefault="00BD5E14" w:rsidP="00BD5E14">
      <w:pPr>
        <w:pStyle w:val="Paragrafi"/>
        <w:rPr>
          <w:lang w:val="sq-AL"/>
        </w:rPr>
      </w:pPr>
      <w:r>
        <w:rPr>
          <w:lang w:val="sq-AL"/>
        </w:rPr>
        <w:t>Subjekti kërkues është Bashkia Shkodër.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BD5E14" w:rsidRDefault="00BD5E14" w:rsidP="00BD5E14">
      <w:pPr>
        <w:pStyle w:val="Paragrafi"/>
        <w:rPr>
          <w:lang w:val="sq-AL"/>
        </w:rPr>
      </w:pPr>
      <w:r>
        <w:rPr>
          <w:lang w:val="sq-AL"/>
        </w:rPr>
        <w:t xml:space="preserve">Pronarët do të likuidohen për efekt shpronësimi me paraqitjen e dokumenteve të rregullta të pronësisë, pas daljes së vendimit të Këshillit të Ministrave, që do të miratojë kërkesën për shpronësim. Vlera totale e shpronësimit është 9 868 500 (nëntë milion e tetëqind e gjashtëdhjetë e tetë mijë e pesëqind) lekë. </w:t>
      </w:r>
    </w:p>
    <w:p w:rsidR="00BD5E14" w:rsidRDefault="00BD5E14" w:rsidP="00BD5E14">
      <w:pPr>
        <w:pStyle w:val="Hapesira7"/>
        <w:rPr>
          <w:lang w:val="sq-AL"/>
        </w:rPr>
      </w:pPr>
    </w:p>
    <w:p w:rsidR="00BD5E14" w:rsidRDefault="00BD5E14" w:rsidP="00BD5E14">
      <w:pPr>
        <w:pStyle w:val="Paragrafi"/>
        <w:jc w:val="right"/>
        <w:rPr>
          <w:lang w:val="sq-AL"/>
        </w:rPr>
      </w:pPr>
      <w:r>
        <w:rPr>
          <w:lang w:val="sq-AL"/>
        </w:rPr>
        <w:t>ZËVENDËSMINISTRI I BRENDSHËM</w:t>
      </w:r>
    </w:p>
    <w:p w:rsidR="00BD5E14" w:rsidRDefault="00BD5E14" w:rsidP="00BD5E14">
      <w:pPr>
        <w:pStyle w:val="Paragrafi"/>
        <w:jc w:val="right"/>
        <w:rPr>
          <w:b/>
          <w:lang w:val="sq-AL"/>
        </w:rPr>
      </w:pPr>
      <w:r>
        <w:rPr>
          <w:b/>
          <w:lang w:val="sq-AL"/>
        </w:rPr>
        <w:t>Romina Kuko</w:t>
      </w:r>
    </w:p>
    <w:p w:rsidR="00BD5E14" w:rsidRDefault="00BD5E14" w:rsidP="00BD5E14">
      <w:pPr>
        <w:spacing w:after="0" w:line="240" w:lineRule="auto"/>
        <w:ind w:firstLine="0"/>
        <w:jc w:val="left"/>
        <w:rPr>
          <w:rFonts w:ascii="Garamond" w:eastAsia="Times New Roman" w:hAnsi="Garamond" w:cs="CG Times"/>
          <w:spacing w:val="-4"/>
          <w:sz w:val="24"/>
          <w:lang w:val="sq-AL" w:eastAsia="en-GB"/>
        </w:rPr>
        <w:sectPr w:rsidR="00BD5E14" w:rsidSect="00BD5E14">
          <w:pgSz w:w="11907" w:h="16840"/>
          <w:pgMar w:top="720" w:right="1134" w:bottom="720" w:left="1134" w:header="851" w:footer="851" w:gutter="0"/>
          <w:cols w:space="454"/>
        </w:sectPr>
      </w:pPr>
    </w:p>
    <w:bookmarkEnd w:id="0"/>
    <w:p w:rsidR="00BD5E14" w:rsidRDefault="00BD5E14" w:rsidP="00BD5E14">
      <w:pPr>
        <w:pStyle w:val="Paragrafi"/>
        <w:ind w:firstLine="0"/>
        <w:rPr>
          <w:rFonts w:eastAsia="Times New Roman"/>
          <w:spacing w:val="-4"/>
          <w:lang w:val="sq-AL" w:eastAsia="en-GB"/>
        </w:rPr>
        <w:sectPr w:rsidR="00BD5E14">
          <w:pgSz w:w="12240" w:h="15840"/>
          <w:pgMar w:top="1440" w:right="1440" w:bottom="1440" w:left="1440" w:header="720" w:footer="720" w:gutter="0"/>
          <w:cols w:space="720"/>
          <w:docGrid w:linePitch="360"/>
        </w:sectPr>
      </w:pPr>
    </w:p>
    <w:p w:rsidR="00BD5E14" w:rsidRDefault="00BD5E14" w:rsidP="00BD5E14">
      <w:pPr>
        <w:pStyle w:val="Paragrafi"/>
        <w:ind w:firstLine="0"/>
        <w:rPr>
          <w:rFonts w:eastAsia="Times New Roman"/>
          <w:spacing w:val="-4"/>
          <w:lang w:val="sq-AL" w:eastAsia="en-GB"/>
        </w:rPr>
      </w:pPr>
    </w:p>
    <w:p w:rsidR="00BD5E14" w:rsidRDefault="00BD5E14" w:rsidP="00BD5E14">
      <w:pPr>
        <w:pStyle w:val="Paragrafi"/>
        <w:ind w:firstLine="0"/>
        <w:rPr>
          <w:rFonts w:eastAsia="Times New Roman"/>
          <w:spacing w:val="-4"/>
          <w:lang w:val="sq-AL" w:eastAsia="en-GB"/>
        </w:rPr>
      </w:pPr>
    </w:p>
    <w:p w:rsidR="00BD5E14" w:rsidRDefault="00BD5E14" w:rsidP="00BD5E14">
      <w:pPr>
        <w:pStyle w:val="Paragrafi"/>
        <w:ind w:firstLine="0"/>
        <w:rPr>
          <w:rFonts w:eastAsia="Times New Roman"/>
          <w:spacing w:val="-4"/>
          <w:lang w:val="sq-AL" w:eastAsia="en-GB"/>
        </w:rPr>
      </w:pPr>
    </w:p>
    <w:p w:rsidR="00BD5E14" w:rsidRDefault="00BD5E14" w:rsidP="00BD5E14">
      <w:pPr>
        <w:pStyle w:val="Paragrafi"/>
        <w:ind w:firstLine="0"/>
        <w:rPr>
          <w:rFonts w:eastAsia="Times New Roman"/>
          <w:spacing w:val="-4"/>
          <w:lang w:val="sq-AL" w:eastAsia="en-GB"/>
        </w:rPr>
      </w:pPr>
    </w:p>
    <w:p w:rsidR="00BD5E14" w:rsidRDefault="00BD5E14" w:rsidP="00BD5E14">
      <w:pPr>
        <w:pStyle w:val="Paragrafi"/>
        <w:ind w:firstLine="0"/>
        <w:rPr>
          <w:rFonts w:eastAsia="Times New Roman"/>
          <w:spacing w:val="-4"/>
          <w:lang w:val="sq-AL" w:eastAsia="en-GB"/>
        </w:rPr>
      </w:pPr>
    </w:p>
    <w:p w:rsidR="00BD5E14" w:rsidRDefault="00BD5E14" w:rsidP="00BD5E14">
      <w:pPr>
        <w:pStyle w:val="Paragrafi"/>
        <w:ind w:firstLine="0"/>
        <w:rPr>
          <w:rFonts w:eastAsia="Times New Roman"/>
          <w:spacing w:val="-4"/>
          <w:lang w:val="sq-AL" w:eastAsia="en-GB"/>
        </w:rPr>
      </w:pPr>
    </w:p>
    <w:p w:rsidR="00BD5E14" w:rsidRDefault="00BD5E14" w:rsidP="00BD5E14">
      <w:pPr>
        <w:pStyle w:val="Paragrafi"/>
        <w:ind w:firstLine="0"/>
        <w:rPr>
          <w:rFonts w:eastAsia="Times New Roman"/>
          <w:spacing w:val="-4"/>
          <w:lang w:val="sq-AL" w:eastAsia="en-GB"/>
        </w:rPr>
      </w:pPr>
    </w:p>
    <w:p w:rsidR="00BD5E14" w:rsidRDefault="00BD5E14" w:rsidP="00BD5E14">
      <w:pPr>
        <w:pStyle w:val="Paragrafi"/>
        <w:ind w:firstLine="0"/>
        <w:rPr>
          <w:rFonts w:eastAsia="Times New Roman"/>
          <w:spacing w:val="-4"/>
          <w:lang w:val="sq-AL" w:eastAsia="en-GB"/>
        </w:rPr>
      </w:pPr>
    </w:p>
    <w:tbl>
      <w:tblPr>
        <w:tblW w:w="10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1360"/>
        <w:gridCol w:w="1031"/>
        <w:gridCol w:w="800"/>
        <w:gridCol w:w="419"/>
        <w:gridCol w:w="540"/>
        <w:gridCol w:w="820"/>
        <w:gridCol w:w="760"/>
        <w:gridCol w:w="720"/>
        <w:gridCol w:w="920"/>
        <w:gridCol w:w="2569"/>
      </w:tblGrid>
      <w:tr w:rsidR="00BD5E14" w:rsidTr="00BD5E14">
        <w:trPr>
          <w:trHeight w:val="200"/>
          <w:jc w:val="center"/>
        </w:trPr>
        <w:tc>
          <w:tcPr>
            <w:tcW w:w="10322" w:type="dxa"/>
            <w:gridSpan w:val="11"/>
            <w:tcBorders>
              <w:top w:val="nil"/>
              <w:left w:val="nil"/>
              <w:bottom w:val="single" w:sz="4" w:space="0" w:color="auto"/>
              <w:right w:val="nil"/>
            </w:tcBorders>
            <w:noWrap/>
            <w:hideMark/>
          </w:tcPr>
          <w:p w:rsidR="00BD5E14" w:rsidRDefault="00BD5E14">
            <w:pPr>
              <w:spacing w:after="0" w:line="240" w:lineRule="auto"/>
              <w:ind w:firstLine="0"/>
              <w:jc w:val="center"/>
              <w:rPr>
                <w:rFonts w:ascii="Garamond" w:eastAsia="Times New Roman" w:hAnsi="Garamond" w:cs="Arial"/>
                <w:bCs/>
                <w:sz w:val="14"/>
                <w:szCs w:val="14"/>
                <w:lang w:val="sq-AL" w:eastAsia="sq-AL"/>
              </w:rPr>
            </w:pPr>
            <w:r>
              <w:rPr>
                <w:rFonts w:ascii="Garamond" w:eastAsia="Times New Roman" w:hAnsi="Garamond" w:cs="Arial"/>
                <w:bCs/>
                <w:sz w:val="14"/>
                <w:szCs w:val="14"/>
                <w:lang w:val="sq-AL" w:eastAsia="sq-AL"/>
              </w:rPr>
              <w:t xml:space="preserve">LISTA E PRONAVE DHE E PRONARËVE QË DO TË SHPRONËSOHEN PËR REALIZIMIN E PROJEKTIT, “NDËRTIM I VARREZAVE TË REJA”, </w:t>
            </w:r>
          </w:p>
          <w:p w:rsidR="00BD5E14" w:rsidRDefault="00BD5E14">
            <w:pPr>
              <w:spacing w:after="0" w:line="240" w:lineRule="auto"/>
              <w:ind w:firstLine="0"/>
              <w:jc w:val="center"/>
              <w:rPr>
                <w:rFonts w:ascii="Garamond" w:eastAsia="Times New Roman" w:hAnsi="Garamond" w:cs="Arial"/>
                <w:bCs/>
                <w:sz w:val="14"/>
                <w:szCs w:val="14"/>
                <w:lang w:val="sq-AL" w:eastAsia="sq-AL"/>
              </w:rPr>
            </w:pPr>
            <w:r>
              <w:rPr>
                <w:rFonts w:ascii="Garamond" w:eastAsia="Times New Roman" w:hAnsi="Garamond" w:cs="Arial"/>
                <w:bCs/>
                <w:sz w:val="14"/>
                <w:szCs w:val="14"/>
                <w:lang w:val="sq-AL" w:eastAsia="sq-AL"/>
              </w:rPr>
              <w:t>BASHKIA SHKODËR</w:t>
            </w:r>
          </w:p>
        </w:tc>
      </w:tr>
      <w:tr w:rsidR="00BD5E14" w:rsidTr="00BD5E14">
        <w:trPr>
          <w:trHeight w:val="139"/>
          <w:jc w:val="center"/>
        </w:trPr>
        <w:tc>
          <w:tcPr>
            <w:tcW w:w="383" w:type="dxa"/>
            <w:vMerge w:val="restart"/>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Nr. </w:t>
            </w:r>
          </w:p>
        </w:tc>
        <w:tc>
          <w:tcPr>
            <w:tcW w:w="1360" w:type="dxa"/>
            <w:vMerge w:val="restart"/>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Emri, mbiemri (pronari që shpronësohet)</w:t>
            </w:r>
          </w:p>
        </w:tc>
        <w:tc>
          <w:tcPr>
            <w:tcW w:w="1031" w:type="dxa"/>
            <w:vMerge w:val="restart"/>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Zona kadastrale</w:t>
            </w:r>
          </w:p>
        </w:tc>
        <w:tc>
          <w:tcPr>
            <w:tcW w:w="800" w:type="dxa"/>
            <w:vMerge w:val="restart"/>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Nr. i pasurisë</w:t>
            </w:r>
          </w:p>
        </w:tc>
        <w:tc>
          <w:tcPr>
            <w:tcW w:w="419" w:type="dxa"/>
            <w:vMerge w:val="restart"/>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Vol</w:t>
            </w:r>
          </w:p>
        </w:tc>
        <w:tc>
          <w:tcPr>
            <w:tcW w:w="540" w:type="dxa"/>
            <w:vMerge w:val="restart"/>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Faqe</w:t>
            </w:r>
          </w:p>
        </w:tc>
        <w:tc>
          <w:tcPr>
            <w:tcW w:w="820" w:type="dxa"/>
            <w:vMerge w:val="restart"/>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Sipërfaqe totale m</w:t>
            </w:r>
            <w:r>
              <w:rPr>
                <w:rFonts w:ascii="Garamond" w:eastAsia="Times New Roman" w:hAnsi="Garamond" w:cs="Arial"/>
                <w:b/>
                <w:bCs/>
                <w:sz w:val="14"/>
                <w:szCs w:val="14"/>
                <w:vertAlign w:val="superscript"/>
                <w:lang w:val="sq-AL" w:eastAsia="sq-AL"/>
              </w:rPr>
              <w:t>2</w:t>
            </w:r>
          </w:p>
        </w:tc>
        <w:tc>
          <w:tcPr>
            <w:tcW w:w="760" w:type="dxa"/>
            <w:vMerge w:val="restart"/>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Lloji i pasurisë</w:t>
            </w:r>
          </w:p>
        </w:tc>
        <w:tc>
          <w:tcPr>
            <w:tcW w:w="72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Çmimi</w:t>
            </w:r>
          </w:p>
        </w:tc>
        <w:tc>
          <w:tcPr>
            <w:tcW w:w="92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Vlera</w:t>
            </w:r>
          </w:p>
        </w:tc>
        <w:tc>
          <w:tcPr>
            <w:tcW w:w="2569" w:type="dxa"/>
            <w:vMerge w:val="restart"/>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Shënime</w:t>
            </w:r>
          </w:p>
        </w:tc>
      </w:tr>
      <w:tr w:rsidR="00BD5E14" w:rsidTr="00BD5E14">
        <w:trPr>
          <w:trHeight w:val="3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ind w:firstLine="0"/>
              <w:jc w:val="left"/>
              <w:rPr>
                <w:rFonts w:ascii="Garamond" w:eastAsia="Times New Roman" w:hAnsi="Garamond" w:cs="Arial"/>
                <w:b/>
                <w:bCs/>
                <w:sz w:val="14"/>
                <w:szCs w:val="14"/>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ind w:firstLine="0"/>
              <w:jc w:val="left"/>
              <w:rPr>
                <w:rFonts w:ascii="Garamond" w:eastAsia="Times New Roman" w:hAnsi="Garamond" w:cs="Arial"/>
                <w:b/>
                <w:bCs/>
                <w:sz w:val="14"/>
                <w:szCs w:val="14"/>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ind w:firstLine="0"/>
              <w:jc w:val="left"/>
              <w:rPr>
                <w:rFonts w:ascii="Garamond" w:eastAsia="Times New Roman" w:hAnsi="Garamond" w:cs="Arial"/>
                <w:b/>
                <w:bCs/>
                <w:sz w:val="14"/>
                <w:szCs w:val="14"/>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ind w:firstLine="0"/>
              <w:jc w:val="left"/>
              <w:rPr>
                <w:rFonts w:ascii="Garamond" w:eastAsia="Times New Roman" w:hAnsi="Garamond" w:cs="Arial"/>
                <w:b/>
                <w:bCs/>
                <w:sz w:val="14"/>
                <w:szCs w:val="14"/>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ind w:firstLine="0"/>
              <w:jc w:val="left"/>
              <w:rPr>
                <w:rFonts w:ascii="Garamond" w:eastAsia="Times New Roman" w:hAnsi="Garamond" w:cs="Arial"/>
                <w:b/>
                <w:bCs/>
                <w:sz w:val="14"/>
                <w:szCs w:val="14"/>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ind w:firstLine="0"/>
              <w:jc w:val="left"/>
              <w:rPr>
                <w:rFonts w:ascii="Garamond" w:eastAsia="Times New Roman" w:hAnsi="Garamond" w:cs="Arial"/>
                <w:b/>
                <w:bCs/>
                <w:sz w:val="14"/>
                <w:szCs w:val="14"/>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ind w:firstLine="0"/>
              <w:jc w:val="left"/>
              <w:rPr>
                <w:rFonts w:ascii="Garamond" w:eastAsia="Times New Roman" w:hAnsi="Garamond" w:cs="Arial"/>
                <w:b/>
                <w:bCs/>
                <w:sz w:val="14"/>
                <w:szCs w:val="14"/>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ind w:firstLine="0"/>
              <w:jc w:val="left"/>
              <w:rPr>
                <w:rFonts w:ascii="Garamond" w:eastAsia="Times New Roman" w:hAnsi="Garamond" w:cs="Arial"/>
                <w:b/>
                <w:bCs/>
                <w:sz w:val="14"/>
                <w:szCs w:val="14"/>
                <w:lang w:val="sq-AL" w:eastAsia="sq-AL"/>
              </w:rPr>
            </w:pPr>
          </w:p>
        </w:tc>
        <w:tc>
          <w:tcPr>
            <w:tcW w:w="72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lekë/m</w:t>
            </w:r>
            <w:r>
              <w:rPr>
                <w:rFonts w:ascii="Garamond" w:eastAsia="Times New Roman" w:hAnsi="Garamond" w:cs="Arial"/>
                <w:b/>
                <w:bCs/>
                <w:sz w:val="14"/>
                <w:szCs w:val="14"/>
                <w:vertAlign w:val="superscript"/>
                <w:lang w:val="sq-AL" w:eastAsia="sq-AL"/>
              </w:rPr>
              <w:t>2</w:t>
            </w:r>
          </w:p>
        </w:tc>
        <w:tc>
          <w:tcPr>
            <w:tcW w:w="92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lekë</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ind w:firstLine="0"/>
              <w:jc w:val="left"/>
              <w:rPr>
                <w:rFonts w:ascii="Garamond" w:eastAsia="Times New Roman" w:hAnsi="Garamond" w:cs="Arial"/>
                <w:b/>
                <w:bCs/>
                <w:sz w:val="14"/>
                <w:szCs w:val="14"/>
                <w:lang w:val="sq-AL" w:eastAsia="sq-AL"/>
              </w:rPr>
            </w:pPr>
          </w:p>
        </w:tc>
      </w:tr>
      <w:tr w:rsidR="00BD5E14" w:rsidTr="00BD5E14">
        <w:trPr>
          <w:trHeight w:val="139"/>
          <w:jc w:val="center"/>
        </w:trPr>
        <w:tc>
          <w:tcPr>
            <w:tcW w:w="383" w:type="dxa"/>
            <w:tcBorders>
              <w:top w:val="single" w:sz="4" w:space="0" w:color="auto"/>
              <w:left w:val="single" w:sz="4" w:space="0" w:color="auto"/>
              <w:bottom w:val="single" w:sz="4" w:space="0" w:color="auto"/>
              <w:right w:val="single" w:sz="4" w:space="0" w:color="auto"/>
            </w:tcBorders>
            <w:noWrap/>
            <w:vAlign w:val="bottom"/>
            <w:hideMark/>
          </w:tcPr>
          <w:p w:rsidR="00BD5E14" w:rsidRDefault="00BD5E14">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w:t>
            </w:r>
          </w:p>
        </w:tc>
        <w:tc>
          <w:tcPr>
            <w:tcW w:w="1360" w:type="dxa"/>
            <w:tcBorders>
              <w:top w:val="single" w:sz="4" w:space="0" w:color="auto"/>
              <w:left w:val="single" w:sz="4" w:space="0" w:color="auto"/>
              <w:bottom w:val="single" w:sz="4" w:space="0" w:color="auto"/>
              <w:right w:val="single" w:sz="4" w:space="0" w:color="auto"/>
            </w:tcBorders>
            <w:noWrap/>
            <w:vAlign w:val="bottom"/>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2</w:t>
            </w:r>
          </w:p>
        </w:tc>
        <w:tc>
          <w:tcPr>
            <w:tcW w:w="1031" w:type="dxa"/>
            <w:tcBorders>
              <w:top w:val="single" w:sz="4" w:space="0" w:color="auto"/>
              <w:left w:val="single" w:sz="4" w:space="0" w:color="auto"/>
              <w:bottom w:val="single" w:sz="4" w:space="0" w:color="auto"/>
              <w:right w:val="single" w:sz="4" w:space="0" w:color="auto"/>
            </w:tcBorders>
            <w:noWrap/>
            <w:vAlign w:val="bottom"/>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800" w:type="dxa"/>
            <w:tcBorders>
              <w:top w:val="single" w:sz="4" w:space="0" w:color="auto"/>
              <w:left w:val="single" w:sz="4" w:space="0" w:color="auto"/>
              <w:bottom w:val="single" w:sz="4" w:space="0" w:color="auto"/>
              <w:right w:val="single" w:sz="4" w:space="0" w:color="auto"/>
            </w:tcBorders>
            <w:noWrap/>
            <w:vAlign w:val="bottom"/>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4</w:t>
            </w:r>
          </w:p>
        </w:tc>
        <w:tc>
          <w:tcPr>
            <w:tcW w:w="419" w:type="dxa"/>
            <w:tcBorders>
              <w:top w:val="single" w:sz="4" w:space="0" w:color="auto"/>
              <w:left w:val="single" w:sz="4" w:space="0" w:color="auto"/>
              <w:bottom w:val="single" w:sz="4" w:space="0" w:color="auto"/>
              <w:right w:val="single" w:sz="4" w:space="0" w:color="auto"/>
            </w:tcBorders>
            <w:noWrap/>
            <w:vAlign w:val="bottom"/>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5</w:t>
            </w:r>
          </w:p>
        </w:tc>
        <w:tc>
          <w:tcPr>
            <w:tcW w:w="540" w:type="dxa"/>
            <w:tcBorders>
              <w:top w:val="single" w:sz="4" w:space="0" w:color="auto"/>
              <w:left w:val="single" w:sz="4" w:space="0" w:color="auto"/>
              <w:bottom w:val="single" w:sz="4" w:space="0" w:color="auto"/>
              <w:right w:val="single" w:sz="4" w:space="0" w:color="auto"/>
            </w:tcBorders>
            <w:noWrap/>
            <w:vAlign w:val="bottom"/>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6</w:t>
            </w:r>
          </w:p>
        </w:tc>
        <w:tc>
          <w:tcPr>
            <w:tcW w:w="820" w:type="dxa"/>
            <w:tcBorders>
              <w:top w:val="single" w:sz="4" w:space="0" w:color="auto"/>
              <w:left w:val="single" w:sz="4" w:space="0" w:color="auto"/>
              <w:bottom w:val="single" w:sz="4" w:space="0" w:color="auto"/>
              <w:right w:val="single" w:sz="4" w:space="0" w:color="auto"/>
            </w:tcBorders>
            <w:noWrap/>
            <w:vAlign w:val="bottom"/>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7</w:t>
            </w:r>
          </w:p>
        </w:tc>
        <w:tc>
          <w:tcPr>
            <w:tcW w:w="760" w:type="dxa"/>
            <w:tcBorders>
              <w:top w:val="single" w:sz="4" w:space="0" w:color="auto"/>
              <w:left w:val="single" w:sz="4" w:space="0" w:color="auto"/>
              <w:bottom w:val="single" w:sz="4" w:space="0" w:color="auto"/>
              <w:right w:val="single" w:sz="4" w:space="0" w:color="auto"/>
            </w:tcBorders>
            <w:noWrap/>
            <w:vAlign w:val="bottom"/>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8</w:t>
            </w:r>
          </w:p>
        </w:tc>
        <w:tc>
          <w:tcPr>
            <w:tcW w:w="720" w:type="dxa"/>
            <w:tcBorders>
              <w:top w:val="single" w:sz="4" w:space="0" w:color="auto"/>
              <w:left w:val="single" w:sz="4" w:space="0" w:color="auto"/>
              <w:bottom w:val="single" w:sz="4" w:space="0" w:color="auto"/>
              <w:right w:val="single" w:sz="4" w:space="0" w:color="auto"/>
            </w:tcBorders>
            <w:noWrap/>
            <w:vAlign w:val="bottom"/>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9</w:t>
            </w:r>
          </w:p>
        </w:tc>
        <w:tc>
          <w:tcPr>
            <w:tcW w:w="920" w:type="dxa"/>
            <w:tcBorders>
              <w:top w:val="single" w:sz="4" w:space="0" w:color="auto"/>
              <w:left w:val="single" w:sz="4" w:space="0" w:color="auto"/>
              <w:bottom w:val="single" w:sz="4" w:space="0" w:color="auto"/>
              <w:right w:val="single" w:sz="4" w:space="0" w:color="auto"/>
            </w:tcBorders>
            <w:noWrap/>
            <w:vAlign w:val="bottom"/>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10</w:t>
            </w:r>
          </w:p>
        </w:tc>
        <w:tc>
          <w:tcPr>
            <w:tcW w:w="256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15</w:t>
            </w:r>
          </w:p>
        </w:tc>
      </w:tr>
      <w:tr w:rsidR="00BD5E14" w:rsidTr="00BD5E14">
        <w:trPr>
          <w:trHeight w:val="139"/>
          <w:jc w:val="center"/>
        </w:trPr>
        <w:tc>
          <w:tcPr>
            <w:tcW w:w="383"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w:t>
            </w:r>
          </w:p>
        </w:tc>
        <w:tc>
          <w:tcPr>
            <w:tcW w:w="136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Kel Gjergj Çekaj Kastriot Kel Çekaj</w:t>
            </w:r>
          </w:p>
        </w:tc>
        <w:tc>
          <w:tcPr>
            <w:tcW w:w="1031"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1965</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256/1</w:t>
            </w:r>
          </w:p>
        </w:tc>
        <w:tc>
          <w:tcPr>
            <w:tcW w:w="419"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w:t>
            </w:r>
          </w:p>
        </w:tc>
        <w:tc>
          <w:tcPr>
            <w:tcW w:w="54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171</w:t>
            </w:r>
          </w:p>
        </w:tc>
        <w:tc>
          <w:tcPr>
            <w:tcW w:w="8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7000</w:t>
            </w:r>
          </w:p>
        </w:tc>
        <w:tc>
          <w:tcPr>
            <w:tcW w:w="7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arë</w:t>
            </w:r>
          </w:p>
        </w:tc>
        <w:tc>
          <w:tcPr>
            <w:tcW w:w="7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w:t>
            </w:r>
          </w:p>
        </w:tc>
        <w:tc>
          <w:tcPr>
            <w:tcW w:w="9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1,890,000</w:t>
            </w:r>
          </w:p>
        </w:tc>
        <w:tc>
          <w:tcPr>
            <w:tcW w:w="25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Konfirmuar nga ZRPP-ja, shkresa nr. 3210/1, datë 13.5.2017</w:t>
            </w:r>
          </w:p>
        </w:tc>
      </w:tr>
      <w:tr w:rsidR="00BD5E14" w:rsidTr="00BD5E14">
        <w:trPr>
          <w:trHeight w:val="139"/>
          <w:jc w:val="center"/>
        </w:trPr>
        <w:tc>
          <w:tcPr>
            <w:tcW w:w="383"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w:t>
            </w:r>
          </w:p>
        </w:tc>
        <w:tc>
          <w:tcPr>
            <w:tcW w:w="136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Lodovik Kol Çekaj</w:t>
            </w:r>
          </w:p>
        </w:tc>
        <w:tc>
          <w:tcPr>
            <w:tcW w:w="1031"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1965</w:t>
            </w:r>
          </w:p>
        </w:tc>
        <w:tc>
          <w:tcPr>
            <w:tcW w:w="80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256/4</w:t>
            </w:r>
          </w:p>
        </w:tc>
        <w:tc>
          <w:tcPr>
            <w:tcW w:w="419"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w:t>
            </w:r>
          </w:p>
        </w:tc>
        <w:tc>
          <w:tcPr>
            <w:tcW w:w="54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174</w:t>
            </w:r>
          </w:p>
        </w:tc>
        <w:tc>
          <w:tcPr>
            <w:tcW w:w="8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5000</w:t>
            </w:r>
          </w:p>
        </w:tc>
        <w:tc>
          <w:tcPr>
            <w:tcW w:w="7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arë</w:t>
            </w:r>
          </w:p>
        </w:tc>
        <w:tc>
          <w:tcPr>
            <w:tcW w:w="7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w:t>
            </w:r>
          </w:p>
        </w:tc>
        <w:tc>
          <w:tcPr>
            <w:tcW w:w="9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1,350,000</w:t>
            </w:r>
          </w:p>
        </w:tc>
        <w:tc>
          <w:tcPr>
            <w:tcW w:w="25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Konfirmuar nga ZRPP-ja, shkresa nr. 3210/1, datë 13.5.2017</w:t>
            </w:r>
          </w:p>
        </w:tc>
      </w:tr>
      <w:tr w:rsidR="00BD5E14" w:rsidTr="00BD5E14">
        <w:trPr>
          <w:trHeight w:val="139"/>
          <w:jc w:val="center"/>
        </w:trPr>
        <w:tc>
          <w:tcPr>
            <w:tcW w:w="383"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3</w:t>
            </w:r>
          </w:p>
        </w:tc>
        <w:tc>
          <w:tcPr>
            <w:tcW w:w="136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Anton Kol Çekaj</w:t>
            </w:r>
          </w:p>
        </w:tc>
        <w:tc>
          <w:tcPr>
            <w:tcW w:w="1031"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1965</w:t>
            </w:r>
          </w:p>
        </w:tc>
        <w:tc>
          <w:tcPr>
            <w:tcW w:w="80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256/5 bëhet 256/40 </w:t>
            </w:r>
          </w:p>
        </w:tc>
        <w:tc>
          <w:tcPr>
            <w:tcW w:w="419"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w:t>
            </w:r>
          </w:p>
        </w:tc>
        <w:tc>
          <w:tcPr>
            <w:tcW w:w="54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82</w:t>
            </w:r>
          </w:p>
        </w:tc>
        <w:tc>
          <w:tcPr>
            <w:tcW w:w="8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4500</w:t>
            </w:r>
          </w:p>
        </w:tc>
        <w:tc>
          <w:tcPr>
            <w:tcW w:w="7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arë</w:t>
            </w:r>
          </w:p>
        </w:tc>
        <w:tc>
          <w:tcPr>
            <w:tcW w:w="7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w:t>
            </w:r>
          </w:p>
        </w:tc>
        <w:tc>
          <w:tcPr>
            <w:tcW w:w="9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1,215,000</w:t>
            </w:r>
          </w:p>
        </w:tc>
        <w:tc>
          <w:tcPr>
            <w:tcW w:w="25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Konfirmuar nga ZRPP-ja, shkresa nr. 3210/1, datë 13.5.2017</w:t>
            </w:r>
          </w:p>
        </w:tc>
      </w:tr>
      <w:tr w:rsidR="00BD5E14" w:rsidTr="00BD5E14">
        <w:trPr>
          <w:trHeight w:val="139"/>
          <w:jc w:val="center"/>
        </w:trPr>
        <w:tc>
          <w:tcPr>
            <w:tcW w:w="383"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4</w:t>
            </w:r>
          </w:p>
        </w:tc>
        <w:tc>
          <w:tcPr>
            <w:tcW w:w="13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Shtet</w:t>
            </w:r>
          </w:p>
        </w:tc>
        <w:tc>
          <w:tcPr>
            <w:tcW w:w="1031"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1965</w:t>
            </w:r>
          </w:p>
        </w:tc>
        <w:tc>
          <w:tcPr>
            <w:tcW w:w="80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xml:space="preserve">256/7 </w:t>
            </w:r>
          </w:p>
        </w:tc>
        <w:tc>
          <w:tcPr>
            <w:tcW w:w="419"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w:t>
            </w:r>
          </w:p>
        </w:tc>
        <w:tc>
          <w:tcPr>
            <w:tcW w:w="54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177</w:t>
            </w:r>
          </w:p>
        </w:tc>
        <w:tc>
          <w:tcPr>
            <w:tcW w:w="8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2400</w:t>
            </w:r>
          </w:p>
        </w:tc>
        <w:tc>
          <w:tcPr>
            <w:tcW w:w="7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arë</w:t>
            </w:r>
          </w:p>
        </w:tc>
        <w:tc>
          <w:tcPr>
            <w:tcW w:w="7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 </w:t>
            </w:r>
          </w:p>
        </w:tc>
        <w:tc>
          <w:tcPr>
            <w:tcW w:w="9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0</w:t>
            </w:r>
          </w:p>
        </w:tc>
        <w:tc>
          <w:tcPr>
            <w:tcW w:w="25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Konfirmuar nga ZRPP-ja, shkresa nr. 3210/1, datë 13.5.2017</w:t>
            </w:r>
          </w:p>
        </w:tc>
      </w:tr>
      <w:tr w:rsidR="00BD5E14" w:rsidTr="00BD5E14">
        <w:trPr>
          <w:trHeight w:val="139"/>
          <w:jc w:val="center"/>
        </w:trPr>
        <w:tc>
          <w:tcPr>
            <w:tcW w:w="383"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w:t>
            </w:r>
          </w:p>
        </w:tc>
        <w:tc>
          <w:tcPr>
            <w:tcW w:w="13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Gjon Zef Shkambi</w:t>
            </w:r>
          </w:p>
        </w:tc>
        <w:tc>
          <w:tcPr>
            <w:tcW w:w="1031"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1965</w:t>
            </w:r>
          </w:p>
        </w:tc>
        <w:tc>
          <w:tcPr>
            <w:tcW w:w="80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256/8</w:t>
            </w:r>
          </w:p>
        </w:tc>
        <w:tc>
          <w:tcPr>
            <w:tcW w:w="419"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w:t>
            </w:r>
          </w:p>
        </w:tc>
        <w:tc>
          <w:tcPr>
            <w:tcW w:w="54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178</w:t>
            </w:r>
          </w:p>
        </w:tc>
        <w:tc>
          <w:tcPr>
            <w:tcW w:w="8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7800</w:t>
            </w:r>
          </w:p>
        </w:tc>
        <w:tc>
          <w:tcPr>
            <w:tcW w:w="7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arë</w:t>
            </w:r>
          </w:p>
        </w:tc>
        <w:tc>
          <w:tcPr>
            <w:tcW w:w="7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w:t>
            </w:r>
          </w:p>
        </w:tc>
        <w:tc>
          <w:tcPr>
            <w:tcW w:w="9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2,106,000</w:t>
            </w:r>
          </w:p>
        </w:tc>
        <w:tc>
          <w:tcPr>
            <w:tcW w:w="25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Konfirmuar nga ZRPP-ja, shkresa nr. 3210/1, datë 13.5.2017</w:t>
            </w:r>
          </w:p>
        </w:tc>
      </w:tr>
      <w:tr w:rsidR="00BD5E14" w:rsidTr="00BD5E14">
        <w:trPr>
          <w:trHeight w:val="139"/>
          <w:jc w:val="center"/>
        </w:trPr>
        <w:tc>
          <w:tcPr>
            <w:tcW w:w="383"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6</w:t>
            </w:r>
          </w:p>
        </w:tc>
        <w:tc>
          <w:tcPr>
            <w:tcW w:w="13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Gjergj Ded Çuni</w:t>
            </w:r>
          </w:p>
        </w:tc>
        <w:tc>
          <w:tcPr>
            <w:tcW w:w="1031"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1965</w:t>
            </w:r>
          </w:p>
        </w:tc>
        <w:tc>
          <w:tcPr>
            <w:tcW w:w="80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256/13</w:t>
            </w:r>
          </w:p>
        </w:tc>
        <w:tc>
          <w:tcPr>
            <w:tcW w:w="419"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w:t>
            </w:r>
          </w:p>
        </w:tc>
        <w:tc>
          <w:tcPr>
            <w:tcW w:w="54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183</w:t>
            </w:r>
          </w:p>
        </w:tc>
        <w:tc>
          <w:tcPr>
            <w:tcW w:w="8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5500</w:t>
            </w:r>
          </w:p>
        </w:tc>
        <w:tc>
          <w:tcPr>
            <w:tcW w:w="7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arë</w:t>
            </w:r>
          </w:p>
        </w:tc>
        <w:tc>
          <w:tcPr>
            <w:tcW w:w="7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w:t>
            </w:r>
          </w:p>
        </w:tc>
        <w:tc>
          <w:tcPr>
            <w:tcW w:w="9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1,485,000</w:t>
            </w:r>
          </w:p>
        </w:tc>
        <w:tc>
          <w:tcPr>
            <w:tcW w:w="25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Konfirmuar nga ZRPP-ja, shkresa nr. 3210/1, datë 13.5.2017</w:t>
            </w:r>
          </w:p>
        </w:tc>
      </w:tr>
      <w:tr w:rsidR="00BD5E14" w:rsidTr="00BD5E14">
        <w:trPr>
          <w:trHeight w:val="139"/>
          <w:jc w:val="center"/>
        </w:trPr>
        <w:tc>
          <w:tcPr>
            <w:tcW w:w="383"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w:t>
            </w:r>
          </w:p>
        </w:tc>
        <w:tc>
          <w:tcPr>
            <w:tcW w:w="13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Zef Gjelosh Kaceli</w:t>
            </w:r>
          </w:p>
        </w:tc>
        <w:tc>
          <w:tcPr>
            <w:tcW w:w="1031"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1965</w:t>
            </w:r>
          </w:p>
        </w:tc>
        <w:tc>
          <w:tcPr>
            <w:tcW w:w="80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256/44</w:t>
            </w:r>
          </w:p>
        </w:tc>
        <w:tc>
          <w:tcPr>
            <w:tcW w:w="419"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w:t>
            </w:r>
          </w:p>
        </w:tc>
        <w:tc>
          <w:tcPr>
            <w:tcW w:w="54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181</w:t>
            </w:r>
          </w:p>
        </w:tc>
        <w:tc>
          <w:tcPr>
            <w:tcW w:w="8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2875</w:t>
            </w:r>
          </w:p>
        </w:tc>
        <w:tc>
          <w:tcPr>
            <w:tcW w:w="7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arë</w:t>
            </w:r>
          </w:p>
        </w:tc>
        <w:tc>
          <w:tcPr>
            <w:tcW w:w="7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w:t>
            </w:r>
          </w:p>
        </w:tc>
        <w:tc>
          <w:tcPr>
            <w:tcW w:w="9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776,250</w:t>
            </w:r>
          </w:p>
        </w:tc>
        <w:tc>
          <w:tcPr>
            <w:tcW w:w="25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Konfirmuar nga ZRPP-ja, shkresa nr. 5954/1, datë 10.8.2017</w:t>
            </w:r>
          </w:p>
        </w:tc>
      </w:tr>
      <w:tr w:rsidR="00BD5E14" w:rsidTr="00BD5E14">
        <w:trPr>
          <w:trHeight w:val="139"/>
          <w:jc w:val="center"/>
        </w:trPr>
        <w:tc>
          <w:tcPr>
            <w:tcW w:w="383"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8</w:t>
            </w:r>
          </w:p>
        </w:tc>
        <w:tc>
          <w:tcPr>
            <w:tcW w:w="13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Zef Gjelosh Kaceli</w:t>
            </w:r>
          </w:p>
        </w:tc>
        <w:tc>
          <w:tcPr>
            <w:tcW w:w="1031"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1965</w:t>
            </w:r>
          </w:p>
        </w:tc>
        <w:tc>
          <w:tcPr>
            <w:tcW w:w="80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256/45</w:t>
            </w:r>
          </w:p>
        </w:tc>
        <w:tc>
          <w:tcPr>
            <w:tcW w:w="419"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w:t>
            </w:r>
          </w:p>
        </w:tc>
        <w:tc>
          <w:tcPr>
            <w:tcW w:w="54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181</w:t>
            </w:r>
          </w:p>
        </w:tc>
        <w:tc>
          <w:tcPr>
            <w:tcW w:w="8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2875</w:t>
            </w:r>
          </w:p>
        </w:tc>
        <w:tc>
          <w:tcPr>
            <w:tcW w:w="7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arë</w:t>
            </w:r>
          </w:p>
        </w:tc>
        <w:tc>
          <w:tcPr>
            <w:tcW w:w="7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w:t>
            </w:r>
          </w:p>
        </w:tc>
        <w:tc>
          <w:tcPr>
            <w:tcW w:w="9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776,250</w:t>
            </w:r>
          </w:p>
        </w:tc>
        <w:tc>
          <w:tcPr>
            <w:tcW w:w="25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Konfirmuar nga ZRPP-ja, shkresa nr. 5954/1, datë 10.8.2017</w:t>
            </w:r>
          </w:p>
        </w:tc>
      </w:tr>
      <w:tr w:rsidR="00BD5E14" w:rsidTr="00BD5E14">
        <w:trPr>
          <w:trHeight w:val="139"/>
          <w:jc w:val="center"/>
        </w:trPr>
        <w:tc>
          <w:tcPr>
            <w:tcW w:w="383"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9</w:t>
            </w:r>
          </w:p>
        </w:tc>
        <w:tc>
          <w:tcPr>
            <w:tcW w:w="13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Zef Gjelosh Kaceli</w:t>
            </w:r>
          </w:p>
        </w:tc>
        <w:tc>
          <w:tcPr>
            <w:tcW w:w="1031"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1965</w:t>
            </w:r>
          </w:p>
        </w:tc>
        <w:tc>
          <w:tcPr>
            <w:tcW w:w="800" w:type="dxa"/>
            <w:tcBorders>
              <w:top w:val="single" w:sz="4" w:space="0" w:color="auto"/>
              <w:left w:val="single" w:sz="4" w:space="0" w:color="auto"/>
              <w:bottom w:val="single" w:sz="4" w:space="0" w:color="auto"/>
              <w:right w:val="single" w:sz="4" w:space="0" w:color="auto"/>
            </w:tcBorders>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256/13</w:t>
            </w:r>
          </w:p>
        </w:tc>
        <w:tc>
          <w:tcPr>
            <w:tcW w:w="419"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w:t>
            </w:r>
          </w:p>
        </w:tc>
        <w:tc>
          <w:tcPr>
            <w:tcW w:w="54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181</w:t>
            </w:r>
          </w:p>
        </w:tc>
        <w:tc>
          <w:tcPr>
            <w:tcW w:w="8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1000</w:t>
            </w:r>
          </w:p>
        </w:tc>
        <w:tc>
          <w:tcPr>
            <w:tcW w:w="76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center"/>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arë</w:t>
            </w:r>
          </w:p>
        </w:tc>
        <w:tc>
          <w:tcPr>
            <w:tcW w:w="7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w:t>
            </w:r>
          </w:p>
        </w:tc>
        <w:tc>
          <w:tcPr>
            <w:tcW w:w="920" w:type="dxa"/>
            <w:tcBorders>
              <w:top w:val="single" w:sz="4" w:space="0" w:color="auto"/>
              <w:left w:val="single" w:sz="4" w:space="0" w:color="auto"/>
              <w:bottom w:val="single" w:sz="4" w:space="0" w:color="auto"/>
              <w:right w:val="single" w:sz="4" w:space="0" w:color="auto"/>
            </w:tcBorders>
            <w:noWrap/>
            <w:vAlign w:val="center"/>
            <w:hideMark/>
          </w:tcPr>
          <w:p w:rsidR="00BD5E14" w:rsidRDefault="00BD5E14">
            <w:pPr>
              <w:spacing w:after="0" w:line="240" w:lineRule="auto"/>
              <w:ind w:firstLine="0"/>
              <w:jc w:val="righ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270,000</w:t>
            </w:r>
          </w:p>
        </w:tc>
        <w:tc>
          <w:tcPr>
            <w:tcW w:w="25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D5E14" w:rsidRDefault="00BD5E14">
            <w:pPr>
              <w:spacing w:after="0" w:line="240" w:lineRule="auto"/>
              <w:ind w:firstLine="0"/>
              <w:jc w:val="left"/>
              <w:rPr>
                <w:rFonts w:ascii="Garamond" w:eastAsia="Times New Roman" w:hAnsi="Garamond" w:cs="Arial"/>
                <w:sz w:val="14"/>
                <w:szCs w:val="14"/>
                <w:lang w:val="sq-AL" w:eastAsia="sq-AL"/>
              </w:rPr>
            </w:pPr>
            <w:r>
              <w:rPr>
                <w:rFonts w:ascii="Garamond" w:eastAsia="Times New Roman" w:hAnsi="Garamond" w:cs="Arial"/>
                <w:sz w:val="14"/>
                <w:szCs w:val="14"/>
                <w:lang w:val="sq-AL" w:eastAsia="sq-AL"/>
              </w:rPr>
              <w:t>Konfirmuar nga ZRPP-ja, shkresa nr. 5954/1, datë 10.8.2017</w:t>
            </w:r>
          </w:p>
        </w:tc>
      </w:tr>
      <w:tr w:rsidR="00BD5E14" w:rsidTr="00BD5E14">
        <w:trPr>
          <w:trHeight w:val="139"/>
          <w:jc w:val="center"/>
        </w:trPr>
        <w:tc>
          <w:tcPr>
            <w:tcW w:w="383" w:type="dxa"/>
            <w:tcBorders>
              <w:top w:val="single" w:sz="4" w:space="0" w:color="auto"/>
              <w:left w:val="single" w:sz="4" w:space="0" w:color="auto"/>
              <w:bottom w:val="single" w:sz="4" w:space="0" w:color="auto"/>
              <w:right w:val="single" w:sz="4" w:space="0" w:color="auto"/>
            </w:tcBorders>
            <w:shd w:val="clear" w:color="auto" w:fill="DDD9C4"/>
            <w:noWrap/>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1360" w:type="dxa"/>
            <w:tcBorders>
              <w:top w:val="single" w:sz="4" w:space="0" w:color="auto"/>
              <w:left w:val="single" w:sz="4" w:space="0" w:color="auto"/>
              <w:bottom w:val="single" w:sz="4" w:space="0" w:color="auto"/>
              <w:right w:val="single" w:sz="4" w:space="0" w:color="auto"/>
            </w:tcBorders>
            <w:shd w:val="clear" w:color="auto" w:fill="DDD9C4"/>
            <w:vAlign w:val="center"/>
            <w:hideMark/>
          </w:tcPr>
          <w:p w:rsidR="00BD5E14" w:rsidRDefault="00BD5E14">
            <w:pPr>
              <w:spacing w:after="0" w:line="240" w:lineRule="auto"/>
              <w:ind w:firstLine="0"/>
              <w:jc w:val="lef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Shuma</w:t>
            </w:r>
          </w:p>
        </w:tc>
        <w:tc>
          <w:tcPr>
            <w:tcW w:w="1031" w:type="dxa"/>
            <w:tcBorders>
              <w:top w:val="single" w:sz="4" w:space="0" w:color="auto"/>
              <w:left w:val="single" w:sz="4" w:space="0" w:color="auto"/>
              <w:bottom w:val="single" w:sz="4" w:space="0" w:color="auto"/>
              <w:right w:val="single" w:sz="4" w:space="0" w:color="auto"/>
            </w:tcBorders>
            <w:shd w:val="clear" w:color="auto" w:fill="DDD9C4"/>
            <w:vAlign w:val="center"/>
            <w:hideMark/>
          </w:tcPr>
          <w:p w:rsidR="00BD5E14" w:rsidRDefault="00BD5E14">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800" w:type="dxa"/>
            <w:tcBorders>
              <w:top w:val="single" w:sz="4" w:space="0" w:color="auto"/>
              <w:left w:val="single" w:sz="4" w:space="0" w:color="auto"/>
              <w:bottom w:val="single" w:sz="4" w:space="0" w:color="auto"/>
              <w:right w:val="single" w:sz="4" w:space="0" w:color="auto"/>
            </w:tcBorders>
            <w:shd w:val="clear" w:color="auto" w:fill="DDD9C4"/>
            <w:noWrap/>
            <w:vAlign w:val="center"/>
            <w:hideMark/>
          </w:tcPr>
          <w:p w:rsidR="00BD5E14" w:rsidRDefault="00BD5E14">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419" w:type="dxa"/>
            <w:tcBorders>
              <w:top w:val="single" w:sz="4" w:space="0" w:color="auto"/>
              <w:left w:val="single" w:sz="4" w:space="0" w:color="auto"/>
              <w:bottom w:val="single" w:sz="4" w:space="0" w:color="auto"/>
              <w:right w:val="single" w:sz="4" w:space="0" w:color="auto"/>
            </w:tcBorders>
            <w:shd w:val="clear" w:color="auto" w:fill="DDD9C4"/>
            <w:noWrap/>
            <w:vAlign w:val="center"/>
            <w:hideMark/>
          </w:tcPr>
          <w:p w:rsidR="00BD5E14" w:rsidRDefault="00BD5E14">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540" w:type="dxa"/>
            <w:tcBorders>
              <w:top w:val="single" w:sz="4" w:space="0" w:color="auto"/>
              <w:left w:val="single" w:sz="4" w:space="0" w:color="auto"/>
              <w:bottom w:val="single" w:sz="4" w:space="0" w:color="auto"/>
              <w:right w:val="single" w:sz="4" w:space="0" w:color="auto"/>
            </w:tcBorders>
            <w:shd w:val="clear" w:color="auto" w:fill="DDD9C4"/>
            <w:noWrap/>
            <w:vAlign w:val="center"/>
            <w:hideMark/>
          </w:tcPr>
          <w:p w:rsidR="00BD5E14" w:rsidRDefault="00BD5E14">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820" w:type="dxa"/>
            <w:tcBorders>
              <w:top w:val="single" w:sz="4" w:space="0" w:color="auto"/>
              <w:left w:val="single" w:sz="4" w:space="0" w:color="auto"/>
              <w:bottom w:val="single" w:sz="4" w:space="0" w:color="auto"/>
              <w:right w:val="single" w:sz="4" w:space="0" w:color="auto"/>
            </w:tcBorders>
            <w:shd w:val="clear" w:color="auto" w:fill="DDD9C4"/>
            <w:noWrap/>
            <w:vAlign w:val="center"/>
            <w:hideMark/>
          </w:tcPr>
          <w:p w:rsidR="00BD5E14" w:rsidRDefault="00BD5E14">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760" w:type="dxa"/>
            <w:tcBorders>
              <w:top w:val="single" w:sz="4" w:space="0" w:color="auto"/>
              <w:left w:val="single" w:sz="4" w:space="0" w:color="auto"/>
              <w:bottom w:val="single" w:sz="4" w:space="0" w:color="auto"/>
              <w:right w:val="single" w:sz="4" w:space="0" w:color="auto"/>
            </w:tcBorders>
            <w:shd w:val="clear" w:color="auto" w:fill="DDD9C4"/>
            <w:noWrap/>
            <w:vAlign w:val="center"/>
            <w:hideMark/>
          </w:tcPr>
          <w:p w:rsidR="00BD5E14" w:rsidRDefault="00BD5E14">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720" w:type="dxa"/>
            <w:tcBorders>
              <w:top w:val="single" w:sz="4" w:space="0" w:color="auto"/>
              <w:left w:val="single" w:sz="4" w:space="0" w:color="auto"/>
              <w:bottom w:val="single" w:sz="4" w:space="0" w:color="auto"/>
              <w:right w:val="single" w:sz="4" w:space="0" w:color="auto"/>
            </w:tcBorders>
            <w:shd w:val="clear" w:color="auto" w:fill="DDD9C4"/>
            <w:noWrap/>
            <w:vAlign w:val="center"/>
            <w:hideMark/>
          </w:tcPr>
          <w:p w:rsidR="00BD5E14" w:rsidRDefault="00BD5E14">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c>
          <w:tcPr>
            <w:tcW w:w="920" w:type="dxa"/>
            <w:tcBorders>
              <w:top w:val="single" w:sz="4" w:space="0" w:color="auto"/>
              <w:left w:val="single" w:sz="4" w:space="0" w:color="auto"/>
              <w:bottom w:val="single" w:sz="4" w:space="0" w:color="auto"/>
              <w:right w:val="single" w:sz="4" w:space="0" w:color="auto"/>
            </w:tcBorders>
            <w:shd w:val="clear" w:color="auto" w:fill="DDD9C4"/>
            <w:noWrap/>
            <w:vAlign w:val="center"/>
            <w:hideMark/>
          </w:tcPr>
          <w:p w:rsidR="00BD5E14" w:rsidRDefault="00BD5E14">
            <w:pPr>
              <w:spacing w:after="0" w:line="240" w:lineRule="auto"/>
              <w:ind w:firstLine="0"/>
              <w:jc w:val="right"/>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9 868 500</w:t>
            </w:r>
          </w:p>
        </w:tc>
        <w:tc>
          <w:tcPr>
            <w:tcW w:w="2569" w:type="dxa"/>
            <w:tcBorders>
              <w:top w:val="single" w:sz="4" w:space="0" w:color="auto"/>
              <w:left w:val="single" w:sz="4" w:space="0" w:color="auto"/>
              <w:bottom w:val="single" w:sz="4" w:space="0" w:color="auto"/>
              <w:right w:val="single" w:sz="4" w:space="0" w:color="auto"/>
            </w:tcBorders>
            <w:shd w:val="clear" w:color="auto" w:fill="DDD9C4"/>
            <w:vAlign w:val="center"/>
            <w:hideMark/>
          </w:tcPr>
          <w:p w:rsidR="00BD5E14" w:rsidRDefault="00BD5E14">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w:t>
            </w:r>
          </w:p>
        </w:tc>
      </w:tr>
    </w:tbl>
    <w:p w:rsidR="00BD5E14" w:rsidRDefault="00BD5E14" w:rsidP="00BD5E14">
      <w:pPr>
        <w:pStyle w:val="Paragrafi"/>
        <w:ind w:firstLine="0"/>
        <w:rPr>
          <w:rFonts w:eastAsia="Times New Roman"/>
          <w:spacing w:val="-4"/>
          <w:lang w:val="sq-AL" w:eastAsia="en-GB"/>
        </w:rPr>
      </w:pPr>
    </w:p>
    <w:p w:rsidR="00BD5E14" w:rsidRDefault="00BD5E14" w:rsidP="00BD5E14">
      <w:pPr>
        <w:pStyle w:val="Paragrafi"/>
        <w:ind w:firstLine="0"/>
        <w:rPr>
          <w:rFonts w:eastAsia="Times New Roman"/>
          <w:spacing w:val="-4"/>
          <w:lang w:val="sq-AL" w:eastAsia="en-GB"/>
        </w:rPr>
      </w:pPr>
    </w:p>
    <w:p w:rsidR="00BD5E14" w:rsidRDefault="00BD5E14" w:rsidP="00BD5E14">
      <w:pPr>
        <w:pStyle w:val="Paragrafi"/>
        <w:ind w:firstLine="0"/>
        <w:rPr>
          <w:rFonts w:eastAsia="Times New Roman"/>
          <w:spacing w:val="-4"/>
          <w:lang w:val="sq-AL" w:eastAsia="en-GB"/>
        </w:rPr>
      </w:pPr>
    </w:p>
    <w:p w:rsidR="00BD5E14" w:rsidRDefault="00BD5E14" w:rsidP="00BD5E14">
      <w:pPr>
        <w:pStyle w:val="Paragrafi"/>
        <w:ind w:firstLine="0"/>
        <w:rPr>
          <w:rFonts w:eastAsia="Times New Roman"/>
          <w:spacing w:val="-4"/>
          <w:lang w:val="sq-AL" w:eastAsia="en-GB"/>
        </w:rPr>
      </w:pPr>
    </w:p>
    <w:p w:rsidR="004D3011" w:rsidRDefault="004D3011"/>
    <w:sectPr w:rsidR="004D3011" w:rsidSect="00BD5E14">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C49"/>
    <w:rsid w:val="004D3011"/>
    <w:rsid w:val="00913C49"/>
    <w:rsid w:val="00BD5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F8DE80-0FED-4662-9F44-11494B4CB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E1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riDataChar">
    <w:name w:val="Numri_Data Char"/>
    <w:basedOn w:val="DefaultParagraphFont"/>
    <w:link w:val="NumriData"/>
    <w:locked/>
    <w:rsid w:val="00BD5E14"/>
    <w:rPr>
      <w:rFonts w:ascii="Garamond" w:eastAsia="MS Mincho" w:hAnsi="Garamond" w:cs="CG Times"/>
      <w:b/>
      <w:bCs/>
      <w:sz w:val="24"/>
      <w:lang w:val="en-GB"/>
    </w:rPr>
  </w:style>
  <w:style w:type="paragraph" w:customStyle="1" w:styleId="NumriData">
    <w:name w:val="Numri_Data"/>
    <w:next w:val="Normal"/>
    <w:link w:val="NumriDataChar"/>
    <w:rsid w:val="00BD5E14"/>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D5E14"/>
    <w:rPr>
      <w:rFonts w:ascii="Garamond" w:eastAsia="MS Mincho" w:hAnsi="Garamond" w:cs="CG Times"/>
      <w:sz w:val="24"/>
    </w:rPr>
  </w:style>
  <w:style w:type="paragraph" w:customStyle="1" w:styleId="Paragrafi">
    <w:name w:val="Paragrafi"/>
    <w:link w:val="ParagrafiChar"/>
    <w:rsid w:val="00BD5E14"/>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BD5E14"/>
    <w:rPr>
      <w:rFonts w:ascii="Garamond" w:eastAsia="MS Mincho" w:hAnsi="Garamond" w:cs="CG Times"/>
      <w:b/>
      <w:bCs/>
      <w:caps/>
      <w:sz w:val="24"/>
      <w:lang w:val="en-GB"/>
    </w:rPr>
  </w:style>
  <w:style w:type="paragraph" w:customStyle="1" w:styleId="Titulli">
    <w:name w:val="Titulli"/>
    <w:next w:val="Normal"/>
    <w:link w:val="TitulliChar"/>
    <w:rsid w:val="00BD5E14"/>
    <w:pPr>
      <w:keepNext/>
      <w:widowControl w:val="0"/>
      <w:spacing w:after="0" w:line="240" w:lineRule="auto"/>
      <w:jc w:val="center"/>
      <w:outlineLvl w:val="1"/>
    </w:pPr>
    <w:rPr>
      <w:rFonts w:ascii="Garamond" w:eastAsia="MS Mincho" w:hAnsi="Garamond" w:cs="CG Times"/>
      <w:b/>
      <w:bCs/>
      <w:caps/>
      <w:sz w:val="24"/>
      <w:lang w:val="en-GB"/>
    </w:rPr>
  </w:style>
  <w:style w:type="paragraph" w:customStyle="1" w:styleId="Hapesira7">
    <w:name w:val="Hapesira 7"/>
    <w:basedOn w:val="Paragrafi"/>
    <w:qFormat/>
    <w:rsid w:val="00BD5E1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51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2209</Characters>
  <Application>Microsoft Office Word</Application>
  <DocSecurity>0</DocSecurity>
  <Lines>18</Lines>
  <Paragraphs>5</Paragraphs>
  <ScaleCrop>false</ScaleCrop>
  <Company/>
  <LinksUpToDate>false</LinksUpToDate>
  <CharactersWithSpaces>2591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2018-04-06T12:01:00Z</dcterms:created>
  <dcterms:modified xsi:type="dcterms:W3CDTF">2018-04-06T12:01:00Z</dcterms:modified>
</cp:coreProperties>
</file>