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74B" w:rsidRDefault="00A2274B"/>
    <w:p w:rsidR="005C3A19" w:rsidRDefault="005C3A19" w:rsidP="005C3A19">
      <w:pPr>
        <w:pStyle w:val="NeniTitull"/>
        <w:rPr>
          <w:lang w:val="sq-AL"/>
        </w:rPr>
      </w:pPr>
      <w:r>
        <w:rPr>
          <w:lang w:val="sq-AL"/>
        </w:rPr>
        <w:t>KËRKESE</w:t>
      </w:r>
    </w:p>
    <w:p w:rsidR="005C3A19" w:rsidRDefault="005C3A19" w:rsidP="005C3A19">
      <w:pPr>
        <w:pStyle w:val="NeniTitull"/>
        <w:rPr>
          <w:lang w:val="sq-AL"/>
        </w:rPr>
      </w:pPr>
      <w:r>
        <w:rPr>
          <w:lang w:val="sq-AL"/>
        </w:rPr>
        <w:t xml:space="preserve">Nr. 1681/4, datë 20.7.2018 </w:t>
      </w:r>
    </w:p>
    <w:p w:rsidR="005C3A19" w:rsidRDefault="005C3A19" w:rsidP="005C3A19">
      <w:pPr>
        <w:pStyle w:val="NeniTitull"/>
        <w:rPr>
          <w:sz w:val="20"/>
          <w:lang w:val="sq-AL"/>
        </w:rPr>
      </w:pPr>
    </w:p>
    <w:p w:rsidR="005C3A19" w:rsidRDefault="005C3A19" w:rsidP="005C3A19">
      <w:pPr>
        <w:pStyle w:val="Paragrafi"/>
        <w:ind w:firstLine="0"/>
        <w:jc w:val="center"/>
        <w:rPr>
          <w:b/>
          <w:lang w:val="sq-AL"/>
        </w:rPr>
      </w:pPr>
      <w:r>
        <w:rPr>
          <w:b/>
          <w:lang w:val="sq-AL"/>
        </w:rPr>
        <w:t>PËR SHPRONËSIM PUBLIK</w:t>
      </w:r>
    </w:p>
    <w:p w:rsidR="005C3A19" w:rsidRDefault="005C3A19" w:rsidP="005C3A19">
      <w:pPr>
        <w:pStyle w:val="Paragrafi"/>
        <w:rPr>
          <w:sz w:val="16"/>
          <w:szCs w:val="16"/>
          <w:lang w:val="sq-AL"/>
        </w:rPr>
      </w:pPr>
      <w:r>
        <w:rPr>
          <w:lang w:val="sq-AL"/>
        </w:rPr>
        <w:t xml:space="preserve"> </w:t>
      </w:r>
    </w:p>
    <w:p w:rsidR="005C3A19" w:rsidRDefault="005C3A19" w:rsidP="005C3A19">
      <w:pPr>
        <w:pStyle w:val="Paragrafi"/>
        <w:rPr>
          <w:lang w:val="sq-AL"/>
        </w:rPr>
      </w:pPr>
      <w:r>
        <w:rPr>
          <w:lang w:val="sq-AL"/>
        </w:rPr>
        <w:t xml:space="preserve">Ministria e Brendshme shpall kërkesën për shpronësim, për interes publik të pasurive të paluajtshme, pronë private, që preken nga realizimi i projektit “Ndërtimi i rrugës paralel me murin rrethues të Portit”, në </w:t>
      </w:r>
      <w:r>
        <w:rPr>
          <w:rFonts w:eastAsia="Times New Roman"/>
          <w:color w:val="000000"/>
          <w:lang w:val="sq-AL"/>
        </w:rPr>
        <w:t>Bashkinë Durrës.</w:t>
      </w:r>
    </w:p>
    <w:p w:rsidR="005C3A19" w:rsidRDefault="005C3A19" w:rsidP="005C3A19">
      <w:pPr>
        <w:pStyle w:val="Paragrafi"/>
        <w:rPr>
          <w:lang w:val="sq-AL"/>
        </w:rPr>
      </w:pPr>
      <w:r>
        <w:rPr>
          <w:lang w:val="sq-AL"/>
        </w:rPr>
        <w:t xml:space="preserve">Subjekti kërkues është </w:t>
      </w:r>
      <w:r>
        <w:rPr>
          <w:rFonts w:eastAsia="Times New Roman"/>
          <w:color w:val="000000"/>
          <w:lang w:val="sq-AL"/>
        </w:rPr>
        <w:t xml:space="preserve">Bashkia e </w:t>
      </w:r>
      <w:r>
        <w:rPr>
          <w:color w:val="000000"/>
          <w:lang w:val="sq-AL"/>
        </w:rPr>
        <w:t>Durrësit</w:t>
      </w:r>
      <w:r>
        <w:rPr>
          <w:rFonts w:eastAsia="Times New Roman"/>
          <w:color w:val="000000"/>
          <w:lang w:val="sq-AL"/>
        </w:rPr>
        <w:t>.</w:t>
      </w:r>
      <w:r>
        <w:rPr>
          <w:lang w:val="sq-AL"/>
        </w:rPr>
        <w:t xml:space="preserve">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5C3A19" w:rsidRDefault="005C3A19" w:rsidP="005C3A19">
      <w:pPr>
        <w:pStyle w:val="Paragrafi"/>
        <w:rPr>
          <w:sz w:val="16"/>
          <w:szCs w:val="16"/>
          <w:lang w:val="sq-AL"/>
        </w:rPr>
      </w:pPr>
      <w:r>
        <w:rPr>
          <w:lang w:val="sq-AL"/>
        </w:rPr>
        <w:t xml:space="preserve">Pronarët do të likuidohen, për efekt shpronësimi, me paraqitjen e dokumenteve të rregullta të pronësisë, pas daljes së vendimit të Këshillit të Ministrave, që do të miratojë kërkesën për shpronësim. Vlera totale e shpronësimit është </w:t>
      </w:r>
      <w:r>
        <w:rPr>
          <w:rFonts w:eastAsia="Calibri"/>
          <w:color w:val="000000"/>
          <w:lang w:val="sq-AL"/>
        </w:rPr>
        <w:t>708.750 (shtatëqind e tetë mijë e shtatëqind e pesëdhjetë ) lekë.</w:t>
      </w:r>
    </w:p>
    <w:p w:rsidR="005C3A19" w:rsidRDefault="005C3A19" w:rsidP="005C3A19">
      <w:pPr>
        <w:pStyle w:val="Paragrafi"/>
        <w:rPr>
          <w:sz w:val="20"/>
          <w:lang w:val="sq-AL"/>
        </w:rPr>
      </w:pPr>
    </w:p>
    <w:p w:rsidR="005C3A19" w:rsidRDefault="005C3A19" w:rsidP="005C3A19">
      <w:pPr>
        <w:pStyle w:val="Paragrafi"/>
        <w:jc w:val="right"/>
        <w:rPr>
          <w:lang w:val="sq-AL"/>
        </w:rPr>
      </w:pPr>
      <w:r>
        <w:rPr>
          <w:lang w:val="sq-AL"/>
        </w:rPr>
        <w:t>ZËVENDËSMINISTRI I BRENDSHËM</w:t>
      </w:r>
    </w:p>
    <w:p w:rsidR="005C3A19" w:rsidRDefault="005C3A19" w:rsidP="005C3A19">
      <w:pPr>
        <w:pStyle w:val="Paragrafi"/>
        <w:jc w:val="right"/>
        <w:rPr>
          <w:b/>
          <w:lang w:val="sq-AL"/>
        </w:rPr>
      </w:pPr>
      <w:r>
        <w:rPr>
          <w:b/>
          <w:lang w:val="sq-AL"/>
        </w:rPr>
        <w:t>Romina Kuko</w:t>
      </w:r>
    </w:p>
    <w:p w:rsidR="005C3A19" w:rsidRDefault="005C3A19" w:rsidP="005C3A19">
      <w:pPr>
        <w:spacing w:after="0" w:line="240" w:lineRule="auto"/>
        <w:ind w:firstLine="0"/>
        <w:jc w:val="left"/>
        <w:rPr>
          <w:rFonts w:ascii="Garamond" w:eastAsia="Times New Roman" w:hAnsi="Garamond" w:cs="CG Times"/>
          <w:b/>
          <w:bCs/>
          <w:color w:val="000000"/>
          <w:sz w:val="14"/>
          <w:szCs w:val="18"/>
          <w:lang w:val="sq-AL"/>
        </w:rPr>
        <w:sectPr w:rsidR="005C3A19" w:rsidSect="005C3A19">
          <w:pgSz w:w="11907" w:h="16840"/>
          <w:pgMar w:top="720" w:right="1134" w:bottom="720" w:left="1134" w:header="851" w:footer="851" w:gutter="0"/>
          <w:cols w:space="454"/>
        </w:sectPr>
      </w:pPr>
    </w:p>
    <w:p w:rsidR="005C3A19" w:rsidRDefault="005C3A19" w:rsidP="005C3A19">
      <w:pPr>
        <w:pStyle w:val="Paragrafi"/>
        <w:ind w:firstLine="0"/>
        <w:rPr>
          <w:rFonts w:eastAsia="Times New Roman"/>
          <w:b/>
          <w:bCs/>
          <w:color w:val="000000"/>
          <w:sz w:val="14"/>
          <w:szCs w:val="18"/>
          <w:lang w:val="sq-AL"/>
        </w:rPr>
      </w:pPr>
    </w:p>
    <w:p w:rsidR="005C3A19" w:rsidRDefault="005C3A19" w:rsidP="005C3A19">
      <w:pPr>
        <w:pStyle w:val="Paragrafi"/>
        <w:ind w:firstLine="0"/>
        <w:jc w:val="center"/>
        <w:rPr>
          <w:sz w:val="20"/>
          <w:szCs w:val="20"/>
          <w:lang w:val="sq-AL" w:eastAsia="en-GB"/>
        </w:rPr>
      </w:pPr>
      <w:r>
        <w:rPr>
          <w:rFonts w:eastAsia="Times New Roman"/>
          <w:bCs/>
          <w:color w:val="000000"/>
          <w:sz w:val="20"/>
          <w:szCs w:val="20"/>
          <w:lang w:val="sq-AL"/>
        </w:rPr>
        <w:t>TABELA PËRMBLEDHËSE E VLERËSIMIT TË SHPRONËSIMIT PËR</w:t>
      </w:r>
      <w:r>
        <w:rPr>
          <w:rFonts w:eastAsia="Times New Roman"/>
          <w:bCs/>
          <w:sz w:val="20"/>
          <w:szCs w:val="20"/>
          <w:lang w:val="sq-AL"/>
        </w:rPr>
        <w:t xml:space="preserve"> INTERES PUBLIK TË PRONARËVE TË PASURIVE TË PALUAJTSHME, PRONË PRIVATE TË CILAT PREKEN NGA OBJEKTI:</w:t>
      </w:r>
      <w:r>
        <w:rPr>
          <w:rFonts w:eastAsia="Times New Roman"/>
          <w:bCs/>
          <w:color w:val="000000"/>
          <w:sz w:val="20"/>
          <w:szCs w:val="20"/>
          <w:lang w:val="sq-AL"/>
        </w:rPr>
        <w:t xml:space="preserve"> "NDËRTIMI I RRUGËS PARALEL ME MURIN RRETHUES TË PORTIT, BASHKIA DURRËS</w:t>
      </w:r>
    </w:p>
    <w:p w:rsidR="005C3A19" w:rsidRDefault="005C3A19" w:rsidP="005C3A19">
      <w:pPr>
        <w:pStyle w:val="Paragrafi"/>
        <w:ind w:firstLine="0"/>
        <w:rPr>
          <w:lang w:val="sq-AL" w:eastAsia="en-GB"/>
        </w:rPr>
      </w:pPr>
    </w:p>
    <w:tbl>
      <w:tblPr>
        <w:tblW w:w="9888" w:type="dxa"/>
        <w:tblInd w:w="93" w:type="dxa"/>
        <w:tblLook w:val="04A0" w:firstRow="1" w:lastRow="0" w:firstColumn="1" w:lastColumn="0" w:noHBand="0" w:noVBand="1"/>
      </w:tblPr>
      <w:tblGrid>
        <w:gridCol w:w="554"/>
        <w:gridCol w:w="1336"/>
        <w:gridCol w:w="1019"/>
        <w:gridCol w:w="873"/>
        <w:gridCol w:w="1238"/>
        <w:gridCol w:w="1438"/>
        <w:gridCol w:w="1335"/>
        <w:gridCol w:w="2100"/>
      </w:tblGrid>
      <w:tr w:rsidR="005C3A19" w:rsidTr="005C3A19">
        <w:trPr>
          <w:trHeight w:val="525"/>
        </w:trPr>
        <w:tc>
          <w:tcPr>
            <w:tcW w:w="554" w:type="dxa"/>
            <w:tcBorders>
              <w:top w:val="single" w:sz="8" w:space="0" w:color="auto"/>
              <w:left w:val="single" w:sz="8" w:space="0" w:color="auto"/>
              <w:bottom w:val="single" w:sz="8" w:space="0" w:color="auto"/>
              <w:right w:val="single" w:sz="8" w:space="0" w:color="auto"/>
            </w:tcBorders>
            <w:noWrap/>
            <w:vAlign w:val="bottom"/>
            <w:hideMark/>
          </w:tcPr>
          <w:p w:rsidR="005C3A19" w:rsidRDefault="005C3A19">
            <w:pPr>
              <w:spacing w:after="0" w:line="240" w:lineRule="auto"/>
              <w:ind w:firstLine="0"/>
              <w:jc w:val="center"/>
              <w:rPr>
                <w:rFonts w:ascii="Garamond" w:eastAsia="Times New Roman" w:hAnsi="Garamond"/>
                <w:b/>
                <w:bCs/>
                <w:sz w:val="18"/>
                <w:szCs w:val="18"/>
                <w:lang w:val="sq-AL"/>
              </w:rPr>
            </w:pPr>
            <w:r>
              <w:rPr>
                <w:rFonts w:ascii="Garamond" w:eastAsia="Times New Roman" w:hAnsi="Garamond"/>
                <w:b/>
                <w:bCs/>
                <w:sz w:val="18"/>
                <w:szCs w:val="18"/>
                <w:lang w:val="sq-AL"/>
              </w:rPr>
              <w:t>Nr.</w:t>
            </w:r>
          </w:p>
        </w:tc>
        <w:tc>
          <w:tcPr>
            <w:tcW w:w="1336" w:type="dxa"/>
            <w:tcBorders>
              <w:top w:val="single" w:sz="8" w:space="0" w:color="auto"/>
              <w:left w:val="nil"/>
              <w:bottom w:val="single" w:sz="8" w:space="0" w:color="auto"/>
              <w:right w:val="single" w:sz="8" w:space="0" w:color="auto"/>
            </w:tcBorders>
            <w:noWrap/>
            <w:vAlign w:val="bottom"/>
            <w:hideMark/>
          </w:tcPr>
          <w:p w:rsidR="005C3A19" w:rsidRDefault="005C3A19">
            <w:pPr>
              <w:spacing w:after="0" w:line="240" w:lineRule="auto"/>
              <w:ind w:firstLine="0"/>
              <w:jc w:val="center"/>
              <w:rPr>
                <w:rFonts w:ascii="Garamond" w:eastAsia="Times New Roman" w:hAnsi="Garamond"/>
                <w:b/>
                <w:bCs/>
                <w:sz w:val="18"/>
                <w:szCs w:val="18"/>
                <w:lang w:val="sq-AL"/>
              </w:rPr>
            </w:pPr>
            <w:r>
              <w:rPr>
                <w:rFonts w:ascii="Garamond" w:eastAsia="Times New Roman" w:hAnsi="Garamond"/>
                <w:b/>
                <w:bCs/>
                <w:sz w:val="18"/>
                <w:szCs w:val="18"/>
                <w:lang w:val="sq-AL"/>
              </w:rPr>
              <w:t>Emër, mbiemer</w:t>
            </w:r>
          </w:p>
        </w:tc>
        <w:tc>
          <w:tcPr>
            <w:tcW w:w="1019" w:type="dxa"/>
            <w:tcBorders>
              <w:top w:val="single" w:sz="8" w:space="0" w:color="auto"/>
              <w:left w:val="nil"/>
              <w:bottom w:val="single" w:sz="8" w:space="0" w:color="auto"/>
              <w:right w:val="single" w:sz="8" w:space="0" w:color="auto"/>
            </w:tcBorders>
            <w:vAlign w:val="bottom"/>
            <w:hideMark/>
          </w:tcPr>
          <w:p w:rsidR="005C3A19" w:rsidRDefault="005C3A19">
            <w:pPr>
              <w:spacing w:after="0" w:line="240" w:lineRule="auto"/>
              <w:ind w:firstLine="0"/>
              <w:jc w:val="center"/>
              <w:rPr>
                <w:rFonts w:ascii="Garamond" w:eastAsia="Times New Roman" w:hAnsi="Garamond"/>
                <w:b/>
                <w:bCs/>
                <w:sz w:val="18"/>
                <w:szCs w:val="18"/>
                <w:lang w:val="sq-AL"/>
              </w:rPr>
            </w:pPr>
            <w:r>
              <w:rPr>
                <w:rFonts w:ascii="Garamond" w:eastAsia="Times New Roman" w:hAnsi="Garamond"/>
                <w:b/>
                <w:bCs/>
                <w:sz w:val="18"/>
                <w:szCs w:val="18"/>
                <w:lang w:val="sq-AL"/>
              </w:rPr>
              <w:t>Zona kadastrale</w:t>
            </w:r>
          </w:p>
        </w:tc>
        <w:tc>
          <w:tcPr>
            <w:tcW w:w="871" w:type="dxa"/>
            <w:tcBorders>
              <w:top w:val="single" w:sz="8" w:space="0" w:color="auto"/>
              <w:left w:val="nil"/>
              <w:bottom w:val="single" w:sz="8" w:space="0" w:color="auto"/>
              <w:right w:val="single" w:sz="8" w:space="0" w:color="auto"/>
            </w:tcBorders>
            <w:vAlign w:val="bottom"/>
            <w:hideMark/>
          </w:tcPr>
          <w:p w:rsidR="005C3A19" w:rsidRDefault="005C3A19">
            <w:pPr>
              <w:spacing w:after="0" w:line="240" w:lineRule="auto"/>
              <w:ind w:firstLine="0"/>
              <w:jc w:val="center"/>
              <w:rPr>
                <w:rFonts w:ascii="Garamond" w:eastAsia="Times New Roman" w:hAnsi="Garamond"/>
                <w:b/>
                <w:bCs/>
                <w:sz w:val="18"/>
                <w:szCs w:val="18"/>
                <w:lang w:val="sq-AL"/>
              </w:rPr>
            </w:pPr>
            <w:r>
              <w:rPr>
                <w:rFonts w:ascii="Garamond" w:eastAsia="Times New Roman" w:hAnsi="Garamond"/>
                <w:b/>
                <w:bCs/>
                <w:sz w:val="18"/>
                <w:szCs w:val="18"/>
                <w:lang w:val="sq-AL"/>
              </w:rPr>
              <w:t>Nr. pasurie</w:t>
            </w:r>
          </w:p>
        </w:tc>
        <w:tc>
          <w:tcPr>
            <w:tcW w:w="1235" w:type="dxa"/>
            <w:tcBorders>
              <w:top w:val="single" w:sz="8" w:space="0" w:color="auto"/>
              <w:left w:val="nil"/>
              <w:bottom w:val="single" w:sz="8" w:space="0" w:color="auto"/>
              <w:right w:val="single" w:sz="8" w:space="0" w:color="auto"/>
            </w:tcBorders>
            <w:vAlign w:val="bottom"/>
            <w:hideMark/>
          </w:tcPr>
          <w:p w:rsidR="005C3A19" w:rsidRDefault="005C3A19">
            <w:pPr>
              <w:spacing w:after="0" w:line="240" w:lineRule="auto"/>
              <w:ind w:firstLine="0"/>
              <w:jc w:val="center"/>
              <w:rPr>
                <w:rFonts w:ascii="Garamond" w:eastAsia="Times New Roman" w:hAnsi="Garamond"/>
                <w:b/>
                <w:bCs/>
                <w:sz w:val="18"/>
                <w:szCs w:val="18"/>
                <w:lang w:val="sq-AL"/>
              </w:rPr>
            </w:pPr>
            <w:r>
              <w:rPr>
                <w:rFonts w:ascii="Garamond" w:eastAsia="Times New Roman" w:hAnsi="Garamond"/>
                <w:b/>
                <w:bCs/>
                <w:sz w:val="18"/>
                <w:szCs w:val="18"/>
                <w:lang w:val="sq-AL"/>
              </w:rPr>
              <w:t xml:space="preserve"> Sip. e objektit që shpronësohet m</w:t>
            </w:r>
            <w:r>
              <w:rPr>
                <w:rFonts w:ascii="Garamond" w:eastAsia="Times New Roman" w:hAnsi="Garamond"/>
                <w:b/>
                <w:bCs/>
                <w:sz w:val="18"/>
                <w:szCs w:val="18"/>
                <w:vertAlign w:val="superscript"/>
                <w:lang w:val="sq-AL"/>
              </w:rPr>
              <w:t>2</w:t>
            </w:r>
          </w:p>
        </w:tc>
        <w:tc>
          <w:tcPr>
            <w:tcW w:w="1438" w:type="dxa"/>
            <w:tcBorders>
              <w:top w:val="single" w:sz="8" w:space="0" w:color="auto"/>
              <w:left w:val="nil"/>
              <w:bottom w:val="single" w:sz="8" w:space="0" w:color="auto"/>
              <w:right w:val="single" w:sz="8" w:space="0" w:color="auto"/>
            </w:tcBorders>
            <w:vAlign w:val="bottom"/>
            <w:hideMark/>
          </w:tcPr>
          <w:p w:rsidR="005C3A19" w:rsidRDefault="005C3A19">
            <w:pPr>
              <w:spacing w:after="0" w:line="240" w:lineRule="auto"/>
              <w:ind w:firstLine="0"/>
              <w:jc w:val="center"/>
              <w:rPr>
                <w:rFonts w:ascii="Garamond" w:eastAsia="Times New Roman" w:hAnsi="Garamond"/>
                <w:b/>
                <w:bCs/>
                <w:sz w:val="18"/>
                <w:szCs w:val="18"/>
                <w:lang w:val="sq-AL"/>
              </w:rPr>
            </w:pPr>
            <w:r>
              <w:rPr>
                <w:rFonts w:ascii="Garamond" w:eastAsia="Times New Roman" w:hAnsi="Garamond"/>
                <w:b/>
                <w:bCs/>
                <w:sz w:val="18"/>
                <w:szCs w:val="18"/>
                <w:lang w:val="sq-AL"/>
              </w:rPr>
              <w:t>Çmimi i ndërtesës për m</w:t>
            </w:r>
            <w:r>
              <w:rPr>
                <w:rFonts w:ascii="Garamond" w:eastAsia="Times New Roman" w:hAnsi="Garamond"/>
                <w:b/>
                <w:bCs/>
                <w:sz w:val="18"/>
                <w:szCs w:val="18"/>
                <w:vertAlign w:val="superscript"/>
                <w:lang w:val="sq-AL"/>
              </w:rPr>
              <w:t>2</w:t>
            </w:r>
          </w:p>
        </w:tc>
        <w:tc>
          <w:tcPr>
            <w:tcW w:w="1335" w:type="dxa"/>
            <w:tcBorders>
              <w:top w:val="single" w:sz="8" w:space="0" w:color="auto"/>
              <w:left w:val="nil"/>
              <w:bottom w:val="single" w:sz="8" w:space="0" w:color="auto"/>
              <w:right w:val="single" w:sz="8" w:space="0" w:color="auto"/>
            </w:tcBorders>
            <w:vAlign w:val="bottom"/>
            <w:hideMark/>
          </w:tcPr>
          <w:p w:rsidR="005C3A19" w:rsidRDefault="005C3A19">
            <w:pPr>
              <w:spacing w:after="0" w:line="240" w:lineRule="auto"/>
              <w:ind w:firstLine="0"/>
              <w:jc w:val="center"/>
              <w:rPr>
                <w:rFonts w:ascii="Garamond" w:eastAsia="Times New Roman" w:hAnsi="Garamond"/>
                <w:b/>
                <w:bCs/>
                <w:sz w:val="18"/>
                <w:szCs w:val="18"/>
                <w:lang w:val="sq-AL"/>
              </w:rPr>
            </w:pPr>
            <w:r>
              <w:rPr>
                <w:rFonts w:ascii="Garamond" w:eastAsia="Times New Roman" w:hAnsi="Garamond"/>
                <w:b/>
                <w:bCs/>
                <w:sz w:val="18"/>
                <w:szCs w:val="18"/>
                <w:lang w:val="sq-AL"/>
              </w:rPr>
              <w:t>Vlera e përgjithshme në lekë</w:t>
            </w:r>
          </w:p>
        </w:tc>
        <w:tc>
          <w:tcPr>
            <w:tcW w:w="2100" w:type="dxa"/>
            <w:tcBorders>
              <w:top w:val="single" w:sz="8" w:space="0" w:color="auto"/>
              <w:left w:val="nil"/>
              <w:bottom w:val="single" w:sz="8" w:space="0" w:color="auto"/>
              <w:right w:val="single" w:sz="8" w:space="0" w:color="auto"/>
            </w:tcBorders>
            <w:vAlign w:val="bottom"/>
            <w:hideMark/>
          </w:tcPr>
          <w:p w:rsidR="005C3A19" w:rsidRDefault="005C3A19">
            <w:pPr>
              <w:spacing w:after="0" w:line="240" w:lineRule="auto"/>
              <w:ind w:firstLine="0"/>
              <w:jc w:val="center"/>
              <w:rPr>
                <w:rFonts w:ascii="Garamond" w:eastAsia="Times New Roman" w:hAnsi="Garamond"/>
                <w:b/>
                <w:bCs/>
                <w:sz w:val="18"/>
                <w:szCs w:val="18"/>
                <w:lang w:val="sq-AL"/>
              </w:rPr>
            </w:pPr>
            <w:r>
              <w:rPr>
                <w:rFonts w:ascii="Garamond" w:eastAsia="Times New Roman" w:hAnsi="Garamond"/>
                <w:b/>
                <w:bCs/>
                <w:sz w:val="18"/>
                <w:szCs w:val="18"/>
                <w:lang w:val="sq-AL"/>
              </w:rPr>
              <w:t>Nr. i shkresës së konfirmimit nga ZVRPP-ja Durrës</w:t>
            </w:r>
          </w:p>
        </w:tc>
      </w:tr>
      <w:tr w:rsidR="005C3A19" w:rsidTr="005C3A19">
        <w:trPr>
          <w:trHeight w:val="510"/>
        </w:trPr>
        <w:tc>
          <w:tcPr>
            <w:tcW w:w="554" w:type="dxa"/>
            <w:tcBorders>
              <w:top w:val="nil"/>
              <w:left w:val="single" w:sz="4" w:space="0" w:color="auto"/>
              <w:bottom w:val="single" w:sz="4" w:space="0" w:color="auto"/>
              <w:right w:val="single" w:sz="4" w:space="0" w:color="auto"/>
            </w:tcBorders>
            <w:noWrap/>
            <w:vAlign w:val="bottom"/>
            <w:hideMark/>
          </w:tcPr>
          <w:p w:rsidR="005C3A19" w:rsidRDefault="005C3A19">
            <w:pPr>
              <w:spacing w:after="0" w:line="240" w:lineRule="auto"/>
              <w:ind w:firstLine="0"/>
              <w:jc w:val="center"/>
              <w:rPr>
                <w:rFonts w:ascii="Garamond" w:eastAsia="Times New Roman" w:hAnsi="Garamond"/>
                <w:sz w:val="18"/>
                <w:szCs w:val="18"/>
                <w:lang w:val="sq-AL"/>
              </w:rPr>
            </w:pPr>
            <w:r>
              <w:rPr>
                <w:rFonts w:ascii="Garamond" w:eastAsia="Times New Roman" w:hAnsi="Garamond"/>
                <w:sz w:val="18"/>
                <w:szCs w:val="18"/>
                <w:lang w:val="sq-AL"/>
              </w:rPr>
              <w:t>1</w:t>
            </w:r>
          </w:p>
        </w:tc>
        <w:tc>
          <w:tcPr>
            <w:tcW w:w="1336" w:type="dxa"/>
            <w:tcBorders>
              <w:top w:val="nil"/>
              <w:left w:val="nil"/>
              <w:bottom w:val="single" w:sz="4" w:space="0" w:color="auto"/>
              <w:right w:val="single" w:sz="4" w:space="0" w:color="auto"/>
            </w:tcBorders>
            <w:noWrap/>
            <w:vAlign w:val="bottom"/>
            <w:hideMark/>
          </w:tcPr>
          <w:p w:rsidR="005C3A19" w:rsidRDefault="005C3A19">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Mikel Asti Pepa</w:t>
            </w:r>
          </w:p>
        </w:tc>
        <w:tc>
          <w:tcPr>
            <w:tcW w:w="1019" w:type="dxa"/>
            <w:tcBorders>
              <w:top w:val="nil"/>
              <w:left w:val="nil"/>
              <w:bottom w:val="single" w:sz="4" w:space="0" w:color="auto"/>
              <w:right w:val="single" w:sz="4" w:space="0" w:color="auto"/>
            </w:tcBorders>
            <w:noWrap/>
            <w:vAlign w:val="bottom"/>
            <w:hideMark/>
          </w:tcPr>
          <w:p w:rsidR="005C3A19" w:rsidRDefault="005C3A19">
            <w:pPr>
              <w:spacing w:after="0" w:line="240" w:lineRule="auto"/>
              <w:ind w:firstLine="0"/>
              <w:jc w:val="center"/>
              <w:rPr>
                <w:rFonts w:ascii="Garamond" w:eastAsia="Times New Roman" w:hAnsi="Garamond"/>
                <w:sz w:val="18"/>
                <w:szCs w:val="18"/>
                <w:lang w:val="sq-AL"/>
              </w:rPr>
            </w:pPr>
            <w:r>
              <w:rPr>
                <w:rFonts w:ascii="Garamond" w:eastAsia="Times New Roman" w:hAnsi="Garamond"/>
                <w:sz w:val="18"/>
                <w:szCs w:val="18"/>
                <w:lang w:val="sq-AL"/>
              </w:rPr>
              <w:t>8514</w:t>
            </w:r>
          </w:p>
        </w:tc>
        <w:tc>
          <w:tcPr>
            <w:tcW w:w="871" w:type="dxa"/>
            <w:tcBorders>
              <w:top w:val="nil"/>
              <w:left w:val="nil"/>
              <w:bottom w:val="double" w:sz="6" w:space="0" w:color="auto"/>
              <w:right w:val="nil"/>
            </w:tcBorders>
            <w:vAlign w:val="bottom"/>
            <w:hideMark/>
          </w:tcPr>
          <w:p w:rsidR="005C3A19" w:rsidRDefault="005C3A19">
            <w:pPr>
              <w:spacing w:after="0" w:line="240" w:lineRule="auto"/>
              <w:ind w:firstLine="0"/>
              <w:jc w:val="center"/>
              <w:rPr>
                <w:rFonts w:ascii="Garamond" w:eastAsia="Times New Roman" w:hAnsi="Garamond"/>
                <w:sz w:val="18"/>
                <w:szCs w:val="18"/>
                <w:lang w:val="sq-AL"/>
              </w:rPr>
            </w:pPr>
            <w:r>
              <w:rPr>
                <w:rFonts w:ascii="Garamond" w:eastAsia="Times New Roman" w:hAnsi="Garamond"/>
                <w:sz w:val="18"/>
                <w:szCs w:val="18"/>
                <w:lang w:val="sq-AL"/>
              </w:rPr>
              <w:t>4/418/N D-G</w:t>
            </w:r>
          </w:p>
        </w:tc>
        <w:tc>
          <w:tcPr>
            <w:tcW w:w="1235" w:type="dxa"/>
            <w:tcBorders>
              <w:top w:val="nil"/>
              <w:left w:val="single" w:sz="4" w:space="0" w:color="auto"/>
              <w:bottom w:val="single" w:sz="4" w:space="0" w:color="auto"/>
              <w:right w:val="single" w:sz="4" w:space="0" w:color="auto"/>
            </w:tcBorders>
            <w:noWrap/>
            <w:vAlign w:val="bottom"/>
            <w:hideMark/>
          </w:tcPr>
          <w:p w:rsidR="005C3A19" w:rsidRDefault="005C3A19">
            <w:pPr>
              <w:spacing w:after="0" w:line="240" w:lineRule="auto"/>
              <w:ind w:firstLine="0"/>
              <w:jc w:val="center"/>
              <w:rPr>
                <w:rFonts w:ascii="Garamond" w:eastAsia="Times New Roman" w:hAnsi="Garamond"/>
                <w:sz w:val="18"/>
                <w:szCs w:val="18"/>
                <w:lang w:val="sq-AL"/>
              </w:rPr>
            </w:pPr>
            <w:r>
              <w:rPr>
                <w:rFonts w:ascii="Garamond" w:eastAsia="Times New Roman" w:hAnsi="Garamond"/>
                <w:sz w:val="18"/>
                <w:szCs w:val="18"/>
                <w:lang w:val="sq-AL"/>
              </w:rPr>
              <w:t>15</w:t>
            </w:r>
          </w:p>
        </w:tc>
        <w:tc>
          <w:tcPr>
            <w:tcW w:w="1438" w:type="dxa"/>
            <w:tcBorders>
              <w:top w:val="nil"/>
              <w:left w:val="nil"/>
              <w:bottom w:val="single" w:sz="4" w:space="0" w:color="auto"/>
              <w:right w:val="single" w:sz="4" w:space="0" w:color="auto"/>
            </w:tcBorders>
            <w:noWrap/>
            <w:vAlign w:val="bottom"/>
            <w:hideMark/>
          </w:tcPr>
          <w:p w:rsidR="005C3A19" w:rsidRDefault="005C3A19">
            <w:pPr>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67500 x 0.7 = 47250</w:t>
            </w:r>
          </w:p>
        </w:tc>
        <w:tc>
          <w:tcPr>
            <w:tcW w:w="1335" w:type="dxa"/>
            <w:tcBorders>
              <w:top w:val="nil"/>
              <w:left w:val="nil"/>
              <w:bottom w:val="single" w:sz="4" w:space="0" w:color="auto"/>
              <w:right w:val="single" w:sz="4" w:space="0" w:color="auto"/>
            </w:tcBorders>
            <w:noWrap/>
            <w:vAlign w:val="bottom"/>
            <w:hideMark/>
          </w:tcPr>
          <w:p w:rsidR="005C3A19" w:rsidRDefault="005C3A19">
            <w:pPr>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708750</w:t>
            </w:r>
          </w:p>
        </w:tc>
        <w:tc>
          <w:tcPr>
            <w:tcW w:w="2100" w:type="dxa"/>
            <w:tcBorders>
              <w:top w:val="nil"/>
              <w:left w:val="nil"/>
              <w:bottom w:val="single" w:sz="4" w:space="0" w:color="auto"/>
              <w:right w:val="single" w:sz="4" w:space="0" w:color="auto"/>
            </w:tcBorders>
            <w:noWrap/>
            <w:vAlign w:val="bottom"/>
            <w:hideMark/>
          </w:tcPr>
          <w:p w:rsidR="005C3A19" w:rsidRDefault="005C3A19">
            <w:pPr>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1804/1, datë 16.3.2018</w:t>
            </w:r>
          </w:p>
        </w:tc>
      </w:tr>
      <w:tr w:rsidR="005C3A19" w:rsidTr="005C3A19">
        <w:trPr>
          <w:trHeight w:val="315"/>
        </w:trPr>
        <w:tc>
          <w:tcPr>
            <w:tcW w:w="554" w:type="dxa"/>
            <w:noWrap/>
            <w:vAlign w:val="bottom"/>
            <w:hideMark/>
          </w:tcPr>
          <w:p w:rsidR="005C3A19" w:rsidRDefault="005C3A19">
            <w:pPr>
              <w:rPr>
                <w:rFonts w:ascii="Garamond" w:eastAsia="Times New Roman" w:hAnsi="Garamond"/>
                <w:color w:val="000000"/>
                <w:sz w:val="18"/>
                <w:szCs w:val="18"/>
                <w:lang w:val="sq-AL"/>
              </w:rPr>
            </w:pPr>
          </w:p>
        </w:tc>
        <w:tc>
          <w:tcPr>
            <w:tcW w:w="1336" w:type="dxa"/>
            <w:noWrap/>
            <w:vAlign w:val="bottom"/>
            <w:hideMark/>
          </w:tcPr>
          <w:p w:rsidR="005C3A19" w:rsidRDefault="005C3A19">
            <w:pPr>
              <w:spacing w:after="0" w:line="240" w:lineRule="auto"/>
              <w:ind w:firstLine="0"/>
              <w:jc w:val="center"/>
              <w:rPr>
                <w:rFonts w:ascii="Garamond" w:eastAsia="Times New Roman" w:hAnsi="Garamond"/>
                <w:b/>
                <w:bCs/>
                <w:sz w:val="18"/>
                <w:szCs w:val="18"/>
                <w:lang w:val="sq-AL"/>
              </w:rPr>
            </w:pPr>
            <w:r>
              <w:rPr>
                <w:rFonts w:ascii="Garamond" w:eastAsia="Times New Roman" w:hAnsi="Garamond"/>
                <w:b/>
                <w:bCs/>
                <w:sz w:val="18"/>
                <w:szCs w:val="18"/>
                <w:lang w:val="sq-AL"/>
              </w:rPr>
              <w:t>TOTALI</w:t>
            </w:r>
          </w:p>
        </w:tc>
        <w:tc>
          <w:tcPr>
            <w:tcW w:w="1019" w:type="dxa"/>
            <w:noWrap/>
            <w:vAlign w:val="bottom"/>
            <w:hideMark/>
          </w:tcPr>
          <w:p w:rsidR="005C3A19" w:rsidRDefault="005C3A19">
            <w:pPr>
              <w:rPr>
                <w:rFonts w:ascii="Garamond" w:eastAsia="Times New Roman" w:hAnsi="Garamond"/>
                <w:b/>
                <w:bCs/>
                <w:sz w:val="18"/>
                <w:szCs w:val="18"/>
                <w:lang w:val="sq-AL"/>
              </w:rPr>
            </w:pPr>
          </w:p>
        </w:tc>
        <w:tc>
          <w:tcPr>
            <w:tcW w:w="871" w:type="dxa"/>
            <w:noWrap/>
            <w:vAlign w:val="bottom"/>
            <w:hideMark/>
          </w:tcPr>
          <w:p w:rsidR="005C3A19" w:rsidRDefault="005C3A19">
            <w:pPr>
              <w:spacing w:after="0" w:line="240" w:lineRule="auto"/>
              <w:ind w:firstLine="0"/>
              <w:jc w:val="left"/>
              <w:rPr>
                <w:sz w:val="20"/>
                <w:szCs w:val="20"/>
              </w:rPr>
            </w:pPr>
          </w:p>
        </w:tc>
        <w:tc>
          <w:tcPr>
            <w:tcW w:w="1235" w:type="dxa"/>
            <w:noWrap/>
            <w:vAlign w:val="bottom"/>
            <w:hideMark/>
          </w:tcPr>
          <w:p w:rsidR="005C3A19" w:rsidRDefault="005C3A19">
            <w:pPr>
              <w:spacing w:after="0" w:line="240" w:lineRule="auto"/>
              <w:ind w:firstLine="0"/>
              <w:jc w:val="left"/>
              <w:rPr>
                <w:sz w:val="20"/>
                <w:szCs w:val="20"/>
              </w:rPr>
            </w:pPr>
          </w:p>
        </w:tc>
        <w:tc>
          <w:tcPr>
            <w:tcW w:w="1438" w:type="dxa"/>
            <w:noWrap/>
            <w:vAlign w:val="bottom"/>
            <w:hideMark/>
          </w:tcPr>
          <w:p w:rsidR="005C3A19" w:rsidRDefault="005C3A19">
            <w:pPr>
              <w:spacing w:after="0" w:line="240" w:lineRule="auto"/>
              <w:ind w:firstLine="0"/>
              <w:jc w:val="left"/>
              <w:rPr>
                <w:sz w:val="20"/>
                <w:szCs w:val="20"/>
              </w:rPr>
            </w:pPr>
          </w:p>
        </w:tc>
        <w:tc>
          <w:tcPr>
            <w:tcW w:w="1335" w:type="dxa"/>
            <w:noWrap/>
            <w:vAlign w:val="bottom"/>
            <w:hideMark/>
          </w:tcPr>
          <w:p w:rsidR="005C3A19" w:rsidRDefault="005C3A19">
            <w:pPr>
              <w:spacing w:after="0" w:line="240" w:lineRule="auto"/>
              <w:ind w:firstLine="0"/>
              <w:jc w:val="center"/>
              <w:rPr>
                <w:rFonts w:ascii="Garamond" w:eastAsia="Times New Roman" w:hAnsi="Garamond"/>
                <w:b/>
                <w:bCs/>
                <w:color w:val="000000"/>
                <w:sz w:val="18"/>
                <w:szCs w:val="18"/>
                <w:lang w:val="sq-AL"/>
              </w:rPr>
            </w:pPr>
            <w:r>
              <w:rPr>
                <w:rFonts w:ascii="Garamond" w:eastAsia="Times New Roman" w:hAnsi="Garamond"/>
                <w:b/>
                <w:bCs/>
                <w:color w:val="000000"/>
                <w:sz w:val="18"/>
                <w:szCs w:val="18"/>
                <w:lang w:val="sq-AL"/>
              </w:rPr>
              <w:t>708750</w:t>
            </w:r>
          </w:p>
        </w:tc>
        <w:tc>
          <w:tcPr>
            <w:tcW w:w="2100" w:type="dxa"/>
            <w:noWrap/>
            <w:vAlign w:val="bottom"/>
            <w:hideMark/>
          </w:tcPr>
          <w:p w:rsidR="005C3A19" w:rsidRDefault="005C3A19">
            <w:pPr>
              <w:rPr>
                <w:rFonts w:ascii="Garamond" w:eastAsia="Times New Roman" w:hAnsi="Garamond"/>
                <w:b/>
                <w:bCs/>
                <w:color w:val="000000"/>
                <w:sz w:val="18"/>
                <w:szCs w:val="18"/>
                <w:lang w:val="sq-AL"/>
              </w:rPr>
            </w:pPr>
          </w:p>
        </w:tc>
      </w:tr>
    </w:tbl>
    <w:p w:rsidR="005C3A19" w:rsidRDefault="005C3A19" w:rsidP="005C3A19">
      <w:pPr>
        <w:pStyle w:val="Paragrafi"/>
        <w:ind w:firstLine="0"/>
        <w:jc w:val="center"/>
        <w:rPr>
          <w:lang w:val="sq-AL" w:eastAsia="en-GB"/>
        </w:rPr>
      </w:pPr>
    </w:p>
    <w:p w:rsidR="005C3A19" w:rsidRDefault="005C3A19" w:rsidP="005C3A19">
      <w:pPr>
        <w:spacing w:after="0" w:line="240" w:lineRule="auto"/>
        <w:ind w:firstLine="0"/>
        <w:jc w:val="left"/>
        <w:rPr>
          <w:rFonts w:ascii="Garamond" w:eastAsia="MS Mincho" w:hAnsi="Garamond" w:cs="CG Times"/>
          <w:sz w:val="24"/>
          <w:lang w:val="sq-AL" w:eastAsia="en-GB"/>
        </w:rPr>
        <w:sectPr w:rsidR="005C3A19" w:rsidSect="005C3A19">
          <w:type w:val="continuous"/>
          <w:pgSz w:w="11907" w:h="16840"/>
          <w:pgMar w:top="720" w:right="1134" w:bottom="720" w:left="1134" w:header="851" w:footer="851" w:gutter="0"/>
          <w:cols w:space="720"/>
        </w:sectPr>
      </w:pPr>
    </w:p>
    <w:p w:rsidR="005C3A19" w:rsidRDefault="005C3A19" w:rsidP="005C3A19">
      <w:bookmarkStart w:id="0" w:name="_GoBack"/>
      <w:bookmarkEnd w:id="0"/>
    </w:p>
    <w:sectPr w:rsidR="005C3A19" w:rsidSect="005C3A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262"/>
    <w:rsid w:val="00313EEA"/>
    <w:rsid w:val="00594262"/>
    <w:rsid w:val="005C3A19"/>
    <w:rsid w:val="00A22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70A50A-93D2-4CE2-9405-9973E8954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EE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313EEA"/>
    <w:rPr>
      <w:rFonts w:ascii="Garamond" w:eastAsia="MS Mincho" w:hAnsi="Garamond" w:cs="CG Times"/>
      <w:sz w:val="24"/>
    </w:rPr>
  </w:style>
  <w:style w:type="paragraph" w:customStyle="1" w:styleId="Paragrafi">
    <w:name w:val="Paragrafi"/>
    <w:link w:val="ParagrafiChar"/>
    <w:rsid w:val="00313EEA"/>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313EE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6336439">
      <w:bodyDiv w:val="1"/>
      <w:marLeft w:val="0"/>
      <w:marRight w:val="0"/>
      <w:marTop w:val="0"/>
      <w:marBottom w:val="0"/>
      <w:divBdr>
        <w:top w:val="none" w:sz="0" w:space="0" w:color="auto"/>
        <w:left w:val="none" w:sz="0" w:space="0" w:color="auto"/>
        <w:bottom w:val="none" w:sz="0" w:space="0" w:color="auto"/>
        <w:right w:val="none" w:sz="0" w:space="0" w:color="auto"/>
      </w:divBdr>
    </w:div>
    <w:div w:id="141173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251</Words>
  <Characters>1433</Characters>
  <Application>Microsoft Office Word</Application>
  <DocSecurity>0</DocSecurity>
  <Lines>11</Lines>
  <Paragraphs>3</Paragraphs>
  <ScaleCrop>false</ScaleCrop>
  <Company/>
  <LinksUpToDate>false</LinksUpToDate>
  <CharactersWithSpaces>1681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2018-07-27T11:55:00Z</dcterms:created>
  <dcterms:modified xsi:type="dcterms:W3CDTF">2018-07-27T11:57:00Z</dcterms:modified>
</cp:coreProperties>
</file>