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9C1" w:rsidRDefault="000379C1" w:rsidP="000379C1">
      <w:pPr>
        <w:pStyle w:val="Paragrafi"/>
      </w:pPr>
      <w:bookmarkStart w:id="0" w:name="_GoBack"/>
      <w:bookmarkEnd w:id="0"/>
    </w:p>
    <w:p w:rsidR="000379C1" w:rsidRPr="007E3F9D" w:rsidRDefault="000379C1" w:rsidP="000379C1">
      <w:pPr>
        <w:pStyle w:val="TitulliTitull"/>
        <w:rPr>
          <w:b/>
        </w:rPr>
      </w:pPr>
      <w:r w:rsidRPr="007E3F9D">
        <w:rPr>
          <w:b/>
        </w:rPr>
        <w:t>Shpallje kërkesë për shpronësim</w:t>
      </w:r>
    </w:p>
    <w:p w:rsidR="000379C1" w:rsidRDefault="000379C1" w:rsidP="000379C1">
      <w:pPr>
        <w:pStyle w:val="Paragrafi"/>
        <w:jc w:val="center"/>
      </w:pPr>
    </w:p>
    <w:p w:rsidR="000379C1" w:rsidRDefault="000379C1" w:rsidP="000379C1">
      <w:pPr>
        <w:pStyle w:val="Paragrafi"/>
      </w:pPr>
      <w:r>
        <w:t>Ministria e Transportit dhe e Telekomunikacionit shpall kërkesën "Për shtesë shpronësimi që preken nga ndërtimi i segmentit rrugor Piraj-Kthesa Vau i Dejës, pjesë e superstradës Lezhë-Shkodër".</w:t>
      </w:r>
    </w:p>
    <w:p w:rsidR="000379C1" w:rsidRDefault="000379C1" w:rsidP="000379C1">
      <w:pPr>
        <w:pStyle w:val="Paragrafi"/>
      </w:pPr>
      <w:r>
        <w:t>Subjekti kërkues i këtij shpronësimi është "Drejtoria e Përgjithshme e Rrugëve".</w:t>
      </w:r>
    </w:p>
    <w:p w:rsidR="000379C1" w:rsidRDefault="000379C1" w:rsidP="000379C1">
      <w:pPr>
        <w:pStyle w:val="Paragrafi"/>
      </w:pPr>
      <w:r>
        <w:t>Me anë të këtij publikmi në shtyp, kërkojmë të vëmë në dijeni personat që preken nga ky shpronësim.</w:t>
      </w:r>
    </w:p>
    <w:p w:rsidR="000379C1" w:rsidRDefault="000379C1" w:rsidP="000379C1">
      <w:pPr>
        <w:pStyle w:val="Paragrafi"/>
      </w:pPr>
      <w:r>
        <w:t>Vënia në dijeni konsiston në sipërfaqen që shpronësohet dhe masën e vlerësimit të llogaritur nga Komisioni i Shpronësimit pranë Ministrisë së Transportit dhe të Telekomunikacionit, për personat sipas listës emërore të mëposhtme.</w:t>
      </w: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Pr="00FD4582" w:rsidRDefault="007405B6" w:rsidP="000379C1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30520" cy="8115300"/>
            <wp:effectExtent l="0" t="0" r="0" b="0"/>
            <wp:docPr id="4" name="Picture 4" descr="Balld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lld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9C1" w:rsidRPr="00FD4582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Default="000379C1" w:rsidP="000379C1">
      <w:pPr>
        <w:pStyle w:val="Paragrafi"/>
      </w:pPr>
    </w:p>
    <w:p w:rsidR="000379C1" w:rsidRPr="00FD4582" w:rsidRDefault="007405B6" w:rsidP="0018081A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222875" cy="8343900"/>
            <wp:effectExtent l="0" t="0" r="0" b="0"/>
            <wp:docPr id="5" name="Picture 5" descr="Balld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lld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7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9C1" w:rsidRDefault="000379C1" w:rsidP="000379C1">
      <w:pPr>
        <w:pStyle w:val="Paragrafi"/>
      </w:pPr>
      <w:r>
        <w:t xml:space="preserve"> </w:t>
      </w:r>
    </w:p>
    <w:p w:rsidR="000379C1" w:rsidRDefault="007405B6" w:rsidP="000379C1">
      <w:pPr>
        <w:pStyle w:val="Figure"/>
      </w:pPr>
      <w:r w:rsidRPr="0062642C">
        <w:rPr>
          <w:noProof/>
          <w:lang w:val="en-GB" w:eastAsia="en-GB"/>
        </w:rPr>
        <w:lastRenderedPageBreak/>
        <w:drawing>
          <wp:inline distT="0" distB="0" distL="0" distR="0">
            <wp:extent cx="1746885" cy="8229600"/>
            <wp:effectExtent l="0" t="0" r="5715" b="0"/>
            <wp:docPr id="3" name="Picture 3" descr="Balld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lld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174688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9C1" w:rsidRDefault="000379C1" w:rsidP="000379C1">
      <w:pPr>
        <w:pStyle w:val="Paragrafi"/>
        <w:jc w:val="center"/>
      </w:pPr>
    </w:p>
    <w:p w:rsidR="000379C1" w:rsidRDefault="000379C1" w:rsidP="000379C1">
      <w:pPr>
        <w:pStyle w:val="TitulliTitull"/>
        <w:rPr>
          <w:caps w:val="0"/>
          <w:szCs w:val="20"/>
          <w:lang w:val="en-US"/>
        </w:rPr>
      </w:pPr>
    </w:p>
    <w:sectPr w:rsidR="000379C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79C1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081A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05B6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E53177-3FC5-4799-83AA-A19EBB35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