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755" w:rsidRPr="00061A36" w:rsidRDefault="00AB2755" w:rsidP="00AB2755">
      <w:pPr>
        <w:pStyle w:val="Akti"/>
        <w:keepNext w:val="0"/>
      </w:pPr>
      <w:bookmarkStart w:id="0" w:name="_GoBack"/>
      <w:bookmarkEnd w:id="0"/>
      <w:r w:rsidRPr="00061A36">
        <w:t>KËRKESË</w:t>
      </w:r>
    </w:p>
    <w:p w:rsidR="00AB2755" w:rsidRPr="00061A36" w:rsidRDefault="00AB2755" w:rsidP="00AB2755">
      <w:pPr>
        <w:pStyle w:val="NumriData"/>
        <w:keepNext w:val="0"/>
      </w:pPr>
      <w:r w:rsidRPr="00061A36">
        <w:t>Nr.3867/1, datë 4.9.2008</w:t>
      </w:r>
    </w:p>
    <w:p w:rsidR="00AB2755" w:rsidRPr="00061A36" w:rsidRDefault="00AB2755" w:rsidP="00AB2755">
      <w:pPr>
        <w:pStyle w:val="Paragrafi"/>
      </w:pPr>
    </w:p>
    <w:p w:rsidR="00AB2755" w:rsidRPr="00061A36" w:rsidRDefault="00AB2755" w:rsidP="00AB2755">
      <w:pPr>
        <w:pStyle w:val="Titulli"/>
        <w:keepNext w:val="0"/>
      </w:pPr>
      <w:r w:rsidRPr="00061A36">
        <w:t>PËR SHPRONËSIM PUBLIK</w:t>
      </w:r>
    </w:p>
    <w:p w:rsidR="00AB2755" w:rsidRPr="00061A36" w:rsidRDefault="00AB2755" w:rsidP="00AB2755">
      <w:pPr>
        <w:pStyle w:val="Paragrafi"/>
      </w:pPr>
    </w:p>
    <w:p w:rsidR="00AB2755" w:rsidRPr="00061A36" w:rsidRDefault="00AB2755" w:rsidP="00AB2755">
      <w:pPr>
        <w:pStyle w:val="Paragrafi"/>
      </w:pPr>
      <w:r w:rsidRPr="00061A36">
        <w:t>Ministria e Punëve Publike, Transportit dhe Telekomunikacionit shpall kërkesën për shpronësim për pasuritë që preken si rezultat i ndërtimit të segmentit rrugor Kukës-Shishtavec. Subjekti kërkues i këtij objekti është Drejtoria e Përgjithshme e Rrugëve. Me anë të këtij publikimi në shtyp kërkojmë të vëmë në dijeni personat të cilët  preken nga ky shpronësim. Vënia në dijeni konsiston në masën e vlerësimit të llogaritur nga Komisioni i Posaçëm i Shpronësimit pranë Ministrisë së Punëve Publike, Transportit dhe Telekomunikacionit, sipas listës emërore bashkëlidhur.</w:t>
      </w:r>
    </w:p>
    <w:p w:rsidR="00AB2755" w:rsidRPr="00061A36" w:rsidRDefault="00AB2755" w:rsidP="00AB2755">
      <w:pPr>
        <w:pStyle w:val="Paragrafi"/>
      </w:pPr>
      <w:r w:rsidRPr="00061A36">
        <w:t xml:space="preserve">Pronari dhe personat e tretë, brenda 15 ditëve nga plotësimi i këtij afati për publikim, kanë të drejtë të paraqesin pretendimet e tyre, të shoqëruara me dokumentet përkatëse në ministrinë kompetente (Ministria e Punëve Publike, Transportit dhe Telekomunikacionit). </w:t>
      </w: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</w:pPr>
    </w:p>
    <w:p w:rsidR="00AB2755" w:rsidRDefault="00AB2755" w:rsidP="00AB2755">
      <w:pPr>
        <w:rPr>
          <w:lang w:val="en-GB"/>
        </w:rPr>
        <w:sectPr w:rsidR="00AB2755" w:rsidSect="00AB2755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375"/>
          <w:cols w:space="708"/>
          <w:docGrid w:linePitch="360"/>
        </w:sectPr>
      </w:pPr>
    </w:p>
    <w:p w:rsidR="00AB2755" w:rsidRDefault="00AB2755" w:rsidP="00AB2755">
      <w:pPr>
        <w:pStyle w:val="TitulliTitull"/>
      </w:pPr>
      <w:r>
        <w:lastRenderedPageBreak/>
        <w:t>LISTA E PRONARËVE, PRONAT E TË CILËVE PREKEN SI REZULTAT I SHKARJEVE NË SEGMENTIN KUKËS-SHISHTAVEC</w:t>
      </w:r>
    </w:p>
    <w:p w:rsidR="00AB2755" w:rsidRDefault="00AB2755" w:rsidP="00AB2755">
      <w:pPr>
        <w:rPr>
          <w:lang w:val="en-GB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05"/>
        <w:gridCol w:w="2350"/>
        <w:gridCol w:w="1497"/>
        <w:gridCol w:w="1467"/>
        <w:gridCol w:w="1467"/>
        <w:gridCol w:w="908"/>
        <w:gridCol w:w="865"/>
        <w:gridCol w:w="1248"/>
        <w:gridCol w:w="2869"/>
      </w:tblGrid>
      <w:tr w:rsidR="00AB2755">
        <w:tc>
          <w:tcPr>
            <w:tcW w:w="507" w:type="dxa"/>
          </w:tcPr>
          <w:p w:rsidR="00AB2755" w:rsidRDefault="00AB2755" w:rsidP="00AB2755">
            <w:pPr>
              <w:pStyle w:val="Tabele"/>
              <w:jc w:val="center"/>
            </w:pPr>
            <w:r>
              <w:t>Nr.</w:t>
            </w:r>
          </w:p>
        </w:tc>
        <w:tc>
          <w:tcPr>
            <w:tcW w:w="2653" w:type="dxa"/>
          </w:tcPr>
          <w:p w:rsidR="00AB2755" w:rsidRDefault="00AB2755" w:rsidP="00AB2755">
            <w:pPr>
              <w:pStyle w:val="Tabele"/>
              <w:jc w:val="center"/>
            </w:pPr>
            <w:r>
              <w:t>Pronari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  <w:jc w:val="center"/>
            </w:pPr>
            <w:r>
              <w:t>Zona</w:t>
            </w:r>
          </w:p>
          <w:p w:rsidR="00AB2755" w:rsidRDefault="00AB2755" w:rsidP="00AB2755">
            <w:pPr>
              <w:pStyle w:val="Tabele"/>
              <w:jc w:val="center"/>
            </w:pPr>
            <w:r>
              <w:t>kadastrale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  <w:jc w:val="center"/>
            </w:pPr>
            <w:r>
              <w:t>Nr. i</w:t>
            </w:r>
          </w:p>
          <w:p w:rsidR="00AB2755" w:rsidRDefault="00AB2755" w:rsidP="00AB2755">
            <w:pPr>
              <w:pStyle w:val="Tabele"/>
              <w:jc w:val="center"/>
            </w:pPr>
            <w:r>
              <w:t>pasurisë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  <w:jc w:val="center"/>
            </w:pPr>
            <w:r>
              <w:t>Lloji i</w:t>
            </w:r>
          </w:p>
          <w:p w:rsidR="00AB2755" w:rsidRDefault="00AB2755" w:rsidP="00AB2755">
            <w:pPr>
              <w:pStyle w:val="Tabele"/>
              <w:jc w:val="center"/>
            </w:pPr>
            <w:r>
              <w:t>pasurisë</w:t>
            </w:r>
          </w:p>
        </w:tc>
        <w:tc>
          <w:tcPr>
            <w:tcW w:w="929" w:type="dxa"/>
          </w:tcPr>
          <w:p w:rsidR="00AB2755" w:rsidRPr="0030220E" w:rsidRDefault="00AB2755" w:rsidP="00AB2755">
            <w:pPr>
              <w:pStyle w:val="Tabele"/>
              <w:jc w:val="center"/>
            </w:pPr>
            <w:r>
              <w:t>Sip/m</w:t>
            </w:r>
            <w:r w:rsidRPr="0030220E">
              <w:rPr>
                <w:vertAlign w:val="superscript"/>
              </w:rPr>
              <w:t>2</w:t>
            </w:r>
          </w:p>
        </w:tc>
        <w:tc>
          <w:tcPr>
            <w:tcW w:w="883" w:type="dxa"/>
          </w:tcPr>
          <w:p w:rsidR="00AB2755" w:rsidRDefault="00AB2755" w:rsidP="00AB2755">
            <w:pPr>
              <w:pStyle w:val="Tabele"/>
              <w:jc w:val="center"/>
            </w:pPr>
            <w:r>
              <w:t>çmimi</w:t>
            </w:r>
          </w:p>
        </w:tc>
        <w:tc>
          <w:tcPr>
            <w:tcW w:w="1283" w:type="dxa"/>
          </w:tcPr>
          <w:p w:rsidR="00AB2755" w:rsidRDefault="00AB2755" w:rsidP="00AB2755">
            <w:pPr>
              <w:pStyle w:val="Tabele"/>
              <w:jc w:val="center"/>
            </w:pPr>
            <w:r>
              <w:t>Thekër</w:t>
            </w:r>
          </w:p>
          <w:p w:rsidR="00AB2755" w:rsidRDefault="00AB2755" w:rsidP="00AB2755">
            <w:pPr>
              <w:pStyle w:val="Tabele"/>
              <w:jc w:val="center"/>
            </w:pPr>
            <w:r>
              <w:t>vlera/lekë</w:t>
            </w:r>
          </w:p>
        </w:tc>
        <w:tc>
          <w:tcPr>
            <w:tcW w:w="3225" w:type="dxa"/>
          </w:tcPr>
          <w:p w:rsidR="00AB2755" w:rsidRDefault="00AB2755" w:rsidP="00AB2755">
            <w:pPr>
              <w:pStyle w:val="Tabele"/>
              <w:jc w:val="center"/>
            </w:pPr>
            <w:r>
              <w:t>Shënime</w:t>
            </w:r>
          </w:p>
        </w:tc>
      </w:tr>
      <w:tr w:rsidR="00AB2755">
        <w:tc>
          <w:tcPr>
            <w:tcW w:w="507" w:type="dxa"/>
          </w:tcPr>
          <w:p w:rsidR="00AB2755" w:rsidRDefault="00AB2755" w:rsidP="00AB2755">
            <w:pPr>
              <w:pStyle w:val="Tabele"/>
            </w:pPr>
            <w:r>
              <w:t>1.</w:t>
            </w:r>
          </w:p>
        </w:tc>
        <w:tc>
          <w:tcPr>
            <w:tcW w:w="2653" w:type="dxa"/>
          </w:tcPr>
          <w:p w:rsidR="00AB2755" w:rsidRDefault="00AB2755" w:rsidP="00AB2755">
            <w:pPr>
              <w:pStyle w:val="Tabele"/>
            </w:pPr>
            <w:r>
              <w:t>Zize Idriz Mustafa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3432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8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arë</w:t>
            </w:r>
          </w:p>
        </w:tc>
        <w:tc>
          <w:tcPr>
            <w:tcW w:w="929" w:type="dxa"/>
          </w:tcPr>
          <w:p w:rsidR="00AB2755" w:rsidRDefault="00AB2755" w:rsidP="00AB2755">
            <w:pPr>
              <w:pStyle w:val="Tabele"/>
            </w:pPr>
            <w:r>
              <w:t>5492</w:t>
            </w:r>
          </w:p>
        </w:tc>
        <w:tc>
          <w:tcPr>
            <w:tcW w:w="883" w:type="dxa"/>
          </w:tcPr>
          <w:p w:rsidR="00AB2755" w:rsidRDefault="00AB2755" w:rsidP="00AB2755">
            <w:pPr>
              <w:pStyle w:val="Tabele"/>
            </w:pPr>
            <w:r>
              <w:t>270</w:t>
            </w:r>
          </w:p>
        </w:tc>
        <w:tc>
          <w:tcPr>
            <w:tcW w:w="1283" w:type="dxa"/>
          </w:tcPr>
          <w:p w:rsidR="00AB2755" w:rsidRDefault="00AB2755" w:rsidP="00AB2755">
            <w:pPr>
              <w:pStyle w:val="Tabele"/>
            </w:pPr>
            <w:r>
              <w:t>35 000</w:t>
            </w:r>
          </w:p>
        </w:tc>
        <w:tc>
          <w:tcPr>
            <w:tcW w:w="3225" w:type="dxa"/>
          </w:tcPr>
          <w:p w:rsidR="00AB2755" w:rsidRDefault="00AB2755" w:rsidP="00AB2755">
            <w:pPr>
              <w:pStyle w:val="Tabele"/>
            </w:pPr>
            <w:r>
              <w:t>I konfirmuar nga ZVRPP</w:t>
            </w:r>
          </w:p>
        </w:tc>
      </w:tr>
      <w:tr w:rsidR="00AB2755">
        <w:tc>
          <w:tcPr>
            <w:tcW w:w="507" w:type="dxa"/>
          </w:tcPr>
          <w:p w:rsidR="00AB2755" w:rsidRDefault="00AB2755" w:rsidP="00AB2755">
            <w:pPr>
              <w:pStyle w:val="Tabele"/>
            </w:pPr>
            <w:r>
              <w:t>2.</w:t>
            </w:r>
          </w:p>
        </w:tc>
        <w:tc>
          <w:tcPr>
            <w:tcW w:w="2653" w:type="dxa"/>
          </w:tcPr>
          <w:p w:rsidR="00AB2755" w:rsidRDefault="00AB2755" w:rsidP="00AB2755">
            <w:pPr>
              <w:pStyle w:val="Tabele"/>
            </w:pPr>
            <w:r>
              <w:t>Elmaz Avdil Serjani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3432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20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arë</w:t>
            </w:r>
          </w:p>
        </w:tc>
        <w:tc>
          <w:tcPr>
            <w:tcW w:w="929" w:type="dxa"/>
          </w:tcPr>
          <w:p w:rsidR="00AB2755" w:rsidRDefault="00AB2755" w:rsidP="00AB2755">
            <w:pPr>
              <w:pStyle w:val="Tabele"/>
            </w:pPr>
            <w:r>
              <w:t>520</w:t>
            </w:r>
          </w:p>
        </w:tc>
        <w:tc>
          <w:tcPr>
            <w:tcW w:w="883" w:type="dxa"/>
          </w:tcPr>
          <w:p w:rsidR="00AB2755" w:rsidRDefault="00AB2755" w:rsidP="00AB2755">
            <w:pPr>
              <w:pStyle w:val="Tabele"/>
            </w:pPr>
            <w:r>
              <w:t>270</w:t>
            </w:r>
          </w:p>
        </w:tc>
        <w:tc>
          <w:tcPr>
            <w:tcW w:w="1283" w:type="dxa"/>
          </w:tcPr>
          <w:p w:rsidR="00AB2755" w:rsidRDefault="00AB2755" w:rsidP="00AB2755">
            <w:pPr>
              <w:pStyle w:val="Tabele"/>
            </w:pPr>
          </w:p>
        </w:tc>
        <w:tc>
          <w:tcPr>
            <w:tcW w:w="3225" w:type="dxa"/>
          </w:tcPr>
          <w:p w:rsidR="00AB2755" w:rsidRDefault="00AB2755" w:rsidP="00AB2755">
            <w:pPr>
              <w:pStyle w:val="Tabele"/>
            </w:pPr>
            <w:r>
              <w:t>I konfirmuar nga ZVRPP</w:t>
            </w:r>
          </w:p>
        </w:tc>
      </w:tr>
      <w:tr w:rsidR="00AB2755">
        <w:tc>
          <w:tcPr>
            <w:tcW w:w="507" w:type="dxa"/>
          </w:tcPr>
          <w:p w:rsidR="00AB2755" w:rsidRDefault="00AB2755" w:rsidP="00AB2755">
            <w:pPr>
              <w:pStyle w:val="Tabele"/>
            </w:pPr>
            <w:r>
              <w:t>3.</w:t>
            </w:r>
          </w:p>
        </w:tc>
        <w:tc>
          <w:tcPr>
            <w:tcW w:w="2653" w:type="dxa"/>
          </w:tcPr>
          <w:p w:rsidR="00AB2755" w:rsidRDefault="00AB2755" w:rsidP="00AB2755">
            <w:pPr>
              <w:pStyle w:val="Tabele"/>
            </w:pPr>
            <w:r>
              <w:t>Bajram Elmaz Serjani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3432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21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arë</w:t>
            </w:r>
          </w:p>
        </w:tc>
        <w:tc>
          <w:tcPr>
            <w:tcW w:w="929" w:type="dxa"/>
          </w:tcPr>
          <w:p w:rsidR="00AB2755" w:rsidRDefault="00AB2755" w:rsidP="00AB2755">
            <w:pPr>
              <w:pStyle w:val="Tabele"/>
            </w:pPr>
            <w:r>
              <w:t>120</w:t>
            </w:r>
          </w:p>
        </w:tc>
        <w:tc>
          <w:tcPr>
            <w:tcW w:w="883" w:type="dxa"/>
          </w:tcPr>
          <w:p w:rsidR="00AB2755" w:rsidRDefault="00AB2755" w:rsidP="00AB2755">
            <w:pPr>
              <w:pStyle w:val="Tabele"/>
            </w:pPr>
            <w:r>
              <w:t>270</w:t>
            </w:r>
          </w:p>
        </w:tc>
        <w:tc>
          <w:tcPr>
            <w:tcW w:w="1283" w:type="dxa"/>
          </w:tcPr>
          <w:p w:rsidR="00AB2755" w:rsidRDefault="00AB2755" w:rsidP="00AB2755">
            <w:pPr>
              <w:pStyle w:val="Tabele"/>
            </w:pPr>
          </w:p>
        </w:tc>
        <w:tc>
          <w:tcPr>
            <w:tcW w:w="3225" w:type="dxa"/>
          </w:tcPr>
          <w:p w:rsidR="00AB2755" w:rsidRDefault="00AB2755" w:rsidP="00AB2755">
            <w:pPr>
              <w:pStyle w:val="Tabele"/>
            </w:pPr>
            <w:r>
              <w:t>I konfirmuar nga ZVRPP</w:t>
            </w:r>
          </w:p>
        </w:tc>
      </w:tr>
      <w:tr w:rsidR="00AB2755">
        <w:tc>
          <w:tcPr>
            <w:tcW w:w="507" w:type="dxa"/>
          </w:tcPr>
          <w:p w:rsidR="00AB2755" w:rsidRDefault="00AB2755" w:rsidP="00AB2755">
            <w:pPr>
              <w:pStyle w:val="Tabele"/>
            </w:pPr>
            <w:r>
              <w:t>4.</w:t>
            </w:r>
          </w:p>
        </w:tc>
        <w:tc>
          <w:tcPr>
            <w:tcW w:w="2653" w:type="dxa"/>
          </w:tcPr>
          <w:p w:rsidR="00AB2755" w:rsidRDefault="00AB2755" w:rsidP="00AB2755">
            <w:pPr>
              <w:pStyle w:val="Tabele"/>
            </w:pPr>
            <w:r>
              <w:t>Elmaz Avdyl Serjani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3432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23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arë</w:t>
            </w:r>
          </w:p>
        </w:tc>
        <w:tc>
          <w:tcPr>
            <w:tcW w:w="929" w:type="dxa"/>
          </w:tcPr>
          <w:p w:rsidR="00AB2755" w:rsidRDefault="00AB2755" w:rsidP="00AB2755">
            <w:pPr>
              <w:pStyle w:val="Tabele"/>
            </w:pPr>
            <w:r>
              <w:t>600</w:t>
            </w:r>
          </w:p>
        </w:tc>
        <w:tc>
          <w:tcPr>
            <w:tcW w:w="883" w:type="dxa"/>
          </w:tcPr>
          <w:p w:rsidR="00AB2755" w:rsidRDefault="00AB2755" w:rsidP="00AB2755">
            <w:pPr>
              <w:pStyle w:val="Tabele"/>
            </w:pPr>
            <w:r>
              <w:t>270</w:t>
            </w:r>
          </w:p>
        </w:tc>
        <w:tc>
          <w:tcPr>
            <w:tcW w:w="1283" w:type="dxa"/>
          </w:tcPr>
          <w:p w:rsidR="00AB2755" w:rsidRDefault="00AB2755" w:rsidP="00AB2755">
            <w:pPr>
              <w:pStyle w:val="Tabele"/>
            </w:pPr>
          </w:p>
        </w:tc>
        <w:tc>
          <w:tcPr>
            <w:tcW w:w="3225" w:type="dxa"/>
          </w:tcPr>
          <w:p w:rsidR="00AB2755" w:rsidRDefault="00AB2755" w:rsidP="00AB2755">
            <w:pPr>
              <w:pStyle w:val="Tabele"/>
            </w:pPr>
            <w:r>
              <w:t>I konfirmuar nga ZVRPP</w:t>
            </w:r>
          </w:p>
        </w:tc>
      </w:tr>
      <w:tr w:rsidR="00AB2755">
        <w:tc>
          <w:tcPr>
            <w:tcW w:w="507" w:type="dxa"/>
          </w:tcPr>
          <w:p w:rsidR="00AB2755" w:rsidRDefault="00AB2755" w:rsidP="00AB2755">
            <w:pPr>
              <w:pStyle w:val="Tabele"/>
            </w:pPr>
            <w:r>
              <w:t>5.</w:t>
            </w:r>
          </w:p>
        </w:tc>
        <w:tc>
          <w:tcPr>
            <w:tcW w:w="2653" w:type="dxa"/>
          </w:tcPr>
          <w:p w:rsidR="00AB2755" w:rsidRDefault="00AB2755" w:rsidP="00AB2755">
            <w:pPr>
              <w:pStyle w:val="Tabele"/>
            </w:pPr>
            <w:r>
              <w:t>Havzi Halim Serjani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3432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24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  <w:r>
              <w:t>arë</w:t>
            </w:r>
          </w:p>
        </w:tc>
        <w:tc>
          <w:tcPr>
            <w:tcW w:w="929" w:type="dxa"/>
          </w:tcPr>
          <w:p w:rsidR="00AB2755" w:rsidRDefault="00AB2755" w:rsidP="00AB2755">
            <w:pPr>
              <w:pStyle w:val="Tabele"/>
            </w:pPr>
            <w:r>
              <w:t>720</w:t>
            </w:r>
          </w:p>
        </w:tc>
        <w:tc>
          <w:tcPr>
            <w:tcW w:w="883" w:type="dxa"/>
          </w:tcPr>
          <w:p w:rsidR="00AB2755" w:rsidRDefault="00AB2755" w:rsidP="00AB2755">
            <w:pPr>
              <w:pStyle w:val="Tabele"/>
            </w:pPr>
            <w:r>
              <w:t>270</w:t>
            </w:r>
          </w:p>
        </w:tc>
        <w:tc>
          <w:tcPr>
            <w:tcW w:w="1283" w:type="dxa"/>
          </w:tcPr>
          <w:p w:rsidR="00AB2755" w:rsidRDefault="00AB2755" w:rsidP="00AB2755">
            <w:pPr>
              <w:pStyle w:val="Tabele"/>
            </w:pPr>
          </w:p>
        </w:tc>
        <w:tc>
          <w:tcPr>
            <w:tcW w:w="3225" w:type="dxa"/>
          </w:tcPr>
          <w:p w:rsidR="00AB2755" w:rsidRDefault="00AB2755" w:rsidP="00AB2755">
            <w:pPr>
              <w:pStyle w:val="Tabele"/>
            </w:pPr>
            <w:r>
              <w:t>I konfirmuar nga ZVRPP</w:t>
            </w:r>
          </w:p>
        </w:tc>
      </w:tr>
      <w:tr w:rsidR="00AB2755">
        <w:tc>
          <w:tcPr>
            <w:tcW w:w="507" w:type="dxa"/>
          </w:tcPr>
          <w:p w:rsidR="00AB2755" w:rsidRDefault="00AB2755" w:rsidP="00AB2755">
            <w:pPr>
              <w:pStyle w:val="Tabele"/>
            </w:pPr>
          </w:p>
        </w:tc>
        <w:tc>
          <w:tcPr>
            <w:tcW w:w="2653" w:type="dxa"/>
          </w:tcPr>
          <w:p w:rsidR="00AB2755" w:rsidRDefault="00AB2755" w:rsidP="00AB2755">
            <w:pPr>
              <w:pStyle w:val="Tabele"/>
            </w:pPr>
            <w:r>
              <w:t>Shuma</w:t>
            </w: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</w:p>
        </w:tc>
        <w:tc>
          <w:tcPr>
            <w:tcW w:w="1580" w:type="dxa"/>
          </w:tcPr>
          <w:p w:rsidR="00AB2755" w:rsidRDefault="00AB2755" w:rsidP="00AB2755">
            <w:pPr>
              <w:pStyle w:val="Tabele"/>
            </w:pPr>
          </w:p>
        </w:tc>
        <w:tc>
          <w:tcPr>
            <w:tcW w:w="929" w:type="dxa"/>
          </w:tcPr>
          <w:p w:rsidR="00AB2755" w:rsidRDefault="00AB2755" w:rsidP="00AB2755">
            <w:pPr>
              <w:pStyle w:val="Tabele"/>
            </w:pPr>
            <w:r>
              <w:t>7452</w:t>
            </w:r>
          </w:p>
        </w:tc>
        <w:tc>
          <w:tcPr>
            <w:tcW w:w="883" w:type="dxa"/>
          </w:tcPr>
          <w:p w:rsidR="00AB2755" w:rsidRDefault="00AB2755" w:rsidP="00AB2755">
            <w:pPr>
              <w:pStyle w:val="Tabele"/>
            </w:pPr>
            <w:r>
              <w:t>270</w:t>
            </w:r>
          </w:p>
        </w:tc>
        <w:tc>
          <w:tcPr>
            <w:tcW w:w="1283" w:type="dxa"/>
          </w:tcPr>
          <w:p w:rsidR="00AB2755" w:rsidRDefault="00AB2755" w:rsidP="00AB2755">
            <w:pPr>
              <w:pStyle w:val="Tabele"/>
            </w:pPr>
            <w:r>
              <w:t>35 000</w:t>
            </w:r>
          </w:p>
        </w:tc>
        <w:tc>
          <w:tcPr>
            <w:tcW w:w="3225" w:type="dxa"/>
          </w:tcPr>
          <w:p w:rsidR="00AB2755" w:rsidRDefault="00AB2755" w:rsidP="00AB2755">
            <w:pPr>
              <w:pStyle w:val="Tabele"/>
            </w:pPr>
            <w:r>
              <w:t>2 047 040</w:t>
            </w:r>
          </w:p>
        </w:tc>
      </w:tr>
    </w:tbl>
    <w:p w:rsidR="00AB2755" w:rsidRDefault="00AB2755" w:rsidP="00AB2755">
      <w:pPr>
        <w:rPr>
          <w:lang w:val="en-GB"/>
        </w:rPr>
      </w:pPr>
    </w:p>
    <w:p w:rsidR="00AB2755" w:rsidRPr="00410247" w:rsidRDefault="00AB2755" w:rsidP="00AB2755">
      <w:pPr>
        <w:pStyle w:val="Paragrafi"/>
      </w:pPr>
    </w:p>
    <w:p w:rsidR="00AB2755" w:rsidRDefault="00AB2755" w:rsidP="00AB2755">
      <w:pPr>
        <w:pStyle w:val="Paragrafi"/>
      </w:pPr>
      <w:r>
        <w:t>Vlera totale e shpronësimit është 2 047 040 (dy milionë e dyzet e shtatëmijë e dyzet) lekë.</w:t>
      </w:r>
    </w:p>
    <w:sectPr w:rsidR="00AB2755" w:rsidSect="00AB2755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F3E88">
      <w:pPr>
        <w:spacing w:line="240" w:lineRule="auto"/>
      </w:pPr>
      <w:r>
        <w:separator/>
      </w:r>
    </w:p>
  </w:endnote>
  <w:endnote w:type="continuationSeparator" w:id="0">
    <w:p w:rsidR="00000000" w:rsidRDefault="005F3E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755" w:rsidRDefault="00AB2755" w:rsidP="00AB275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B2755" w:rsidRDefault="00AB2755" w:rsidP="00AB275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755" w:rsidRDefault="00AB2755" w:rsidP="00AB275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3E88">
      <w:rPr>
        <w:rStyle w:val="PageNumber"/>
        <w:noProof/>
      </w:rPr>
      <w:t>7376</w:t>
    </w:r>
    <w:r>
      <w:rPr>
        <w:rStyle w:val="PageNumber"/>
      </w:rPr>
      <w:fldChar w:fldCharType="end"/>
    </w:r>
  </w:p>
  <w:p w:rsidR="00AB2755" w:rsidRDefault="00AB2755" w:rsidP="00AB275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F3E88">
      <w:pPr>
        <w:spacing w:line="240" w:lineRule="auto"/>
      </w:pPr>
      <w:r>
        <w:separator/>
      </w:r>
    </w:p>
  </w:footnote>
  <w:footnote w:type="continuationSeparator" w:id="0">
    <w:p w:rsidR="00000000" w:rsidRDefault="005F3E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2755"/>
    <w:rsid w:val="00093BA7"/>
    <w:rsid w:val="00155FB1"/>
    <w:rsid w:val="00427864"/>
    <w:rsid w:val="005F3E88"/>
    <w:rsid w:val="00AB275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F30C0F-E279-479F-9D63-910A3286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755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AB2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AB275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AB275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2755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