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F68" w:rsidRPr="008A0BD3" w:rsidRDefault="00647F68" w:rsidP="00647F68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>Kërkesë</w:t>
      </w:r>
    </w:p>
    <w:p w:rsidR="00647F68" w:rsidRPr="008A0BD3" w:rsidRDefault="00647F68" w:rsidP="00647F68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Nr.246/2, datë 30.1.2009</w:t>
      </w:r>
    </w:p>
    <w:p w:rsidR="00647F68" w:rsidRPr="008A0BD3" w:rsidRDefault="00647F68" w:rsidP="00647F68">
      <w:pPr>
        <w:pStyle w:val="Paragrafi0"/>
        <w:rPr>
          <w:lang w:val="sq-AL"/>
        </w:rPr>
      </w:pPr>
    </w:p>
    <w:p w:rsidR="00647F68" w:rsidRPr="008A0BD3" w:rsidRDefault="00647F68" w:rsidP="00647F68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shpronësim publik</w:t>
      </w:r>
    </w:p>
    <w:p w:rsidR="00647F68" w:rsidRPr="008A0BD3" w:rsidRDefault="00647F68" w:rsidP="00647F68">
      <w:pPr>
        <w:pStyle w:val="Paragrafi0"/>
        <w:rPr>
          <w:lang w:val="sq-AL"/>
        </w:rPr>
      </w:pPr>
    </w:p>
    <w:p w:rsidR="00647F68" w:rsidRPr="008A0BD3" w:rsidRDefault="00647F68" w:rsidP="00647F68">
      <w:pPr>
        <w:pStyle w:val="Paragrafi0"/>
        <w:rPr>
          <w:lang w:val="sq-AL"/>
        </w:rPr>
      </w:pPr>
      <w:r w:rsidRPr="008A0BD3">
        <w:rPr>
          <w:lang w:val="sq-AL"/>
        </w:rPr>
        <w:t xml:space="preserve">Ministria e Punëve Publike, Transportit dhe Telekomunikacionit </w:t>
      </w:r>
      <w:bookmarkStart w:id="1" w:name="OLE_LINK3"/>
      <w:bookmarkStart w:id="2" w:name="OLE_LINK4"/>
      <w:r w:rsidRPr="008A0BD3">
        <w:rPr>
          <w:lang w:val="sq-AL"/>
        </w:rPr>
        <w:t>shpall kërkesën për shpronësim për interes publik të pasurive të paluajtshme pronë private (objekte), që preken nga ndërtimi i segmentit rrugor “Milot-Rrëshen”.</w:t>
      </w:r>
    </w:p>
    <w:bookmarkEnd w:id="1"/>
    <w:bookmarkEnd w:id="2"/>
    <w:p w:rsidR="00647F68" w:rsidRPr="008A0BD3" w:rsidRDefault="00647F68" w:rsidP="00647F68">
      <w:pPr>
        <w:pStyle w:val="Paragrafi0"/>
        <w:rPr>
          <w:lang w:val="sq-AL"/>
        </w:rPr>
      </w:pPr>
      <w:r w:rsidRPr="008A0BD3">
        <w:rPr>
          <w:lang w:val="sq-AL"/>
        </w:rPr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grupi i punës ng</w:t>
      </w:r>
      <w:r>
        <w:rPr>
          <w:lang w:val="sq-AL"/>
        </w:rPr>
        <w:t>ritur në këtë qëllim, vlerësim</w:t>
      </w:r>
      <w:r w:rsidRPr="008A0BD3">
        <w:rPr>
          <w:lang w:val="sq-AL"/>
        </w:rPr>
        <w:t xml:space="preserve"> i cili është miratuar më pas nga Komisioni i Posaçëm i Shpronësimit  pranë Ministrisë së Punëve Publike, Transportit dhe Telekomunikacionit, për pronarët sipas listës emërore bashkëlidhur.</w:t>
      </w:r>
    </w:p>
    <w:p w:rsidR="00647F68" w:rsidRPr="008A0BD3" w:rsidRDefault="00647F68" w:rsidP="00647F68">
      <w:pPr>
        <w:pStyle w:val="Paragrafi0"/>
        <w:rPr>
          <w:lang w:val="sq-AL"/>
        </w:rPr>
      </w:pPr>
      <w:r w:rsidRPr="008A0BD3">
        <w:rPr>
          <w:lang w:val="sq-AL"/>
        </w:rPr>
        <w:t>Pronarët që kanë emrat në listë emërore dhe personat e tretë, brenda 15 ditëve nga plotësimi i këtij afati për publikim, kanë të drejtë të paraqesin pretendimet e tyre , të shoqëruara me dokumentet përkatëse në ministrinë kompetente (Ministria e Punëve Publike Tra</w:t>
      </w:r>
      <w:r>
        <w:rPr>
          <w:lang w:val="sq-AL"/>
        </w:rPr>
        <w:t>n</w:t>
      </w:r>
      <w:r w:rsidRPr="008A0BD3">
        <w:rPr>
          <w:lang w:val="sq-AL"/>
        </w:rPr>
        <w:t>sportit dhe Telekomunikacionit).</w:t>
      </w:r>
    </w:p>
    <w:p w:rsidR="00647F68" w:rsidRPr="008A0BD3" w:rsidRDefault="00647F68" w:rsidP="00647F68">
      <w:pPr>
        <w:pStyle w:val="Paragrafi0"/>
        <w:rPr>
          <w:lang w:val="sq-AL"/>
        </w:rPr>
      </w:pPr>
      <w:r w:rsidRPr="008A0BD3">
        <w:rPr>
          <w:lang w:val="sq-AL"/>
        </w:rPr>
        <w:t>Vlera totale e këtij shpronësimi është 4 857 712 (katër milion e tetëqind e pesëdhjetë e shtatë mijë e shtatëqind e dymbëdhjetë) lekë.</w:t>
      </w:r>
    </w:p>
    <w:p w:rsidR="00647F68" w:rsidRPr="008A0BD3" w:rsidRDefault="00647F68" w:rsidP="00647F68">
      <w:pPr>
        <w:pStyle w:val="Paragrafi0"/>
        <w:rPr>
          <w:lang w:val="sq-AL"/>
        </w:rPr>
      </w:pPr>
    </w:p>
    <w:p w:rsidR="00647F68" w:rsidRDefault="00647F68" w:rsidP="00647F68">
      <w:pPr>
        <w:pStyle w:val="TitulliTitull"/>
        <w:keepNext w:val="0"/>
        <w:rPr>
          <w:lang w:val="sq-AL"/>
        </w:rPr>
      </w:pPr>
      <w:r w:rsidRPr="008A0BD3">
        <w:rPr>
          <w:lang w:val="sq-AL"/>
        </w:rPr>
        <w:t>List</w:t>
      </w:r>
      <w:r>
        <w:rPr>
          <w:lang w:val="sq-AL"/>
        </w:rPr>
        <w:t>a e objekteve në pronësi private</w:t>
      </w:r>
      <w:r w:rsidRPr="008A0BD3">
        <w:rPr>
          <w:lang w:val="sq-AL"/>
        </w:rPr>
        <w:t xml:space="preserve"> që preken nga ndërtimi i segmentit “Milot-Rrëshen”</w:t>
      </w:r>
    </w:p>
    <w:p w:rsidR="00647F68" w:rsidRPr="008A0BD3" w:rsidRDefault="00647F68" w:rsidP="00647F68">
      <w:pPr>
        <w:pStyle w:val="TitulliTitull"/>
        <w:keepNext w:val="0"/>
        <w:rPr>
          <w:lang w:val="sq-AL"/>
        </w:rPr>
      </w:pPr>
    </w:p>
    <w:tbl>
      <w:tblPr>
        <w:tblStyle w:val="NormaleBookmanOldStyle"/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1919"/>
        <w:gridCol w:w="1974"/>
        <w:gridCol w:w="1972"/>
        <w:gridCol w:w="1258"/>
      </w:tblGrid>
      <w:tr w:rsidR="00647F68" w:rsidRPr="008D4ED5" w:rsidTr="00647F68">
        <w:tc>
          <w:tcPr>
            <w:tcW w:w="590" w:type="dxa"/>
          </w:tcPr>
          <w:p w:rsidR="00647F68" w:rsidRPr="008D4ED5" w:rsidRDefault="00647F68" w:rsidP="00647F68">
            <w:pPr>
              <w:pStyle w:val="Paragrafi0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8D4ED5">
              <w:rPr>
                <w:b/>
                <w:sz w:val="21"/>
                <w:szCs w:val="21"/>
                <w:lang w:val="sq-AL"/>
              </w:rPr>
              <w:t>Nr.</w:t>
            </w:r>
          </w:p>
        </w:tc>
        <w:tc>
          <w:tcPr>
            <w:tcW w:w="1919" w:type="dxa"/>
          </w:tcPr>
          <w:p w:rsidR="00647F68" w:rsidRPr="008D4ED5" w:rsidRDefault="00647F68" w:rsidP="00647F68">
            <w:pPr>
              <w:pStyle w:val="Paragrafi0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8D4ED5">
              <w:rPr>
                <w:b/>
                <w:sz w:val="21"/>
                <w:szCs w:val="21"/>
                <w:lang w:val="sq-AL"/>
              </w:rPr>
              <w:t>Lloji i objektit</w:t>
            </w:r>
          </w:p>
        </w:tc>
        <w:tc>
          <w:tcPr>
            <w:tcW w:w="1974" w:type="dxa"/>
          </w:tcPr>
          <w:p w:rsidR="00647F68" w:rsidRPr="008D4ED5" w:rsidRDefault="00647F68" w:rsidP="00647F68">
            <w:pPr>
              <w:pStyle w:val="Paragrafi0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8D4ED5">
              <w:rPr>
                <w:b/>
                <w:sz w:val="21"/>
                <w:szCs w:val="21"/>
                <w:lang w:val="sq-AL"/>
              </w:rPr>
              <w:t>Emri i pronarit</w:t>
            </w:r>
          </w:p>
        </w:tc>
        <w:tc>
          <w:tcPr>
            <w:tcW w:w="1972" w:type="dxa"/>
          </w:tcPr>
          <w:p w:rsidR="00647F68" w:rsidRPr="008D4ED5" w:rsidRDefault="00647F68" w:rsidP="00647F68">
            <w:pPr>
              <w:pStyle w:val="Paragrafi0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8D4ED5">
              <w:rPr>
                <w:b/>
                <w:sz w:val="21"/>
                <w:szCs w:val="21"/>
                <w:lang w:val="sq-AL"/>
              </w:rPr>
              <w:t>Segmenti</w:t>
            </w:r>
          </w:p>
        </w:tc>
        <w:tc>
          <w:tcPr>
            <w:tcW w:w="1258" w:type="dxa"/>
          </w:tcPr>
          <w:p w:rsidR="00647F68" w:rsidRPr="008D4ED5" w:rsidRDefault="00647F68" w:rsidP="00647F68">
            <w:pPr>
              <w:pStyle w:val="Paragrafi0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 w:rsidRPr="008D4ED5">
              <w:rPr>
                <w:b/>
                <w:sz w:val="21"/>
                <w:szCs w:val="21"/>
                <w:lang w:val="sq-AL"/>
              </w:rPr>
              <w:t>Vlera lekë</w:t>
            </w:r>
          </w:p>
        </w:tc>
      </w:tr>
      <w:tr w:rsidR="00647F68" w:rsidRPr="008D4ED5" w:rsidTr="00647F68">
        <w:tc>
          <w:tcPr>
            <w:tcW w:w="590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1</w:t>
            </w:r>
          </w:p>
        </w:tc>
        <w:tc>
          <w:tcPr>
            <w:tcW w:w="1919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Shtëpi banimi</w:t>
            </w:r>
          </w:p>
        </w:tc>
        <w:tc>
          <w:tcPr>
            <w:tcW w:w="1974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Fran Mark Karagjozi</w:t>
            </w:r>
          </w:p>
        </w:tc>
        <w:tc>
          <w:tcPr>
            <w:tcW w:w="1972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Milot-Rrëshen</w:t>
            </w:r>
          </w:p>
        </w:tc>
        <w:tc>
          <w:tcPr>
            <w:tcW w:w="1258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3499765</w:t>
            </w:r>
          </w:p>
        </w:tc>
      </w:tr>
      <w:tr w:rsidR="00647F68" w:rsidRPr="008D4ED5" w:rsidTr="00647F68">
        <w:tc>
          <w:tcPr>
            <w:tcW w:w="590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2</w:t>
            </w:r>
          </w:p>
        </w:tc>
        <w:tc>
          <w:tcPr>
            <w:tcW w:w="1919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Mur guri</w:t>
            </w:r>
          </w:p>
        </w:tc>
        <w:tc>
          <w:tcPr>
            <w:tcW w:w="1974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Lek Bitraj</w:t>
            </w:r>
          </w:p>
        </w:tc>
        <w:tc>
          <w:tcPr>
            <w:tcW w:w="1972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Milot-Rrëshen</w:t>
            </w:r>
          </w:p>
        </w:tc>
        <w:tc>
          <w:tcPr>
            <w:tcW w:w="1258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43063</w:t>
            </w:r>
          </w:p>
        </w:tc>
      </w:tr>
      <w:tr w:rsidR="00647F68" w:rsidRPr="008D4ED5" w:rsidTr="00647F68">
        <w:tc>
          <w:tcPr>
            <w:tcW w:w="590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3</w:t>
            </w:r>
          </w:p>
        </w:tc>
        <w:tc>
          <w:tcPr>
            <w:tcW w:w="1919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Mur rrethues</w:t>
            </w:r>
          </w:p>
        </w:tc>
        <w:tc>
          <w:tcPr>
            <w:tcW w:w="1974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Zef Llesh Fusha</w:t>
            </w:r>
          </w:p>
        </w:tc>
        <w:tc>
          <w:tcPr>
            <w:tcW w:w="1972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Milot-Rrëshen</w:t>
            </w:r>
          </w:p>
        </w:tc>
        <w:tc>
          <w:tcPr>
            <w:tcW w:w="1258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514319</w:t>
            </w:r>
          </w:p>
        </w:tc>
      </w:tr>
      <w:tr w:rsidR="00647F68" w:rsidRPr="008D4ED5" w:rsidTr="00647F68">
        <w:tc>
          <w:tcPr>
            <w:tcW w:w="590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4</w:t>
            </w:r>
          </w:p>
        </w:tc>
        <w:tc>
          <w:tcPr>
            <w:tcW w:w="1919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 xml:space="preserve">Klaçeto </w:t>
            </w:r>
          </w:p>
        </w:tc>
        <w:tc>
          <w:tcPr>
            <w:tcW w:w="1974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 xml:space="preserve">Arben Bitri </w:t>
            </w:r>
          </w:p>
        </w:tc>
        <w:tc>
          <w:tcPr>
            <w:tcW w:w="1972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Milot-Rrëshen</w:t>
            </w:r>
          </w:p>
        </w:tc>
        <w:tc>
          <w:tcPr>
            <w:tcW w:w="1258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800565</w:t>
            </w:r>
          </w:p>
        </w:tc>
      </w:tr>
      <w:tr w:rsidR="00647F68" w:rsidRPr="008D4ED5" w:rsidTr="00647F68">
        <w:tc>
          <w:tcPr>
            <w:tcW w:w="590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919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974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Totali</w:t>
            </w:r>
          </w:p>
        </w:tc>
        <w:tc>
          <w:tcPr>
            <w:tcW w:w="1972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258" w:type="dxa"/>
          </w:tcPr>
          <w:p w:rsidR="00647F68" w:rsidRPr="008D4ED5" w:rsidRDefault="00647F68" w:rsidP="00647F68">
            <w:pPr>
              <w:pStyle w:val="Paragrafi0"/>
              <w:ind w:firstLine="0"/>
              <w:rPr>
                <w:sz w:val="21"/>
                <w:szCs w:val="21"/>
                <w:lang w:val="sq-AL"/>
              </w:rPr>
            </w:pPr>
            <w:r w:rsidRPr="008D4ED5">
              <w:rPr>
                <w:sz w:val="21"/>
                <w:szCs w:val="21"/>
                <w:lang w:val="sq-AL"/>
              </w:rPr>
              <w:t>4857712</w:t>
            </w:r>
          </w:p>
        </w:tc>
      </w:tr>
    </w:tbl>
    <w:p w:rsidR="00647F68" w:rsidRPr="00D035B7" w:rsidRDefault="00647F68" w:rsidP="00647F68">
      <w:pPr>
        <w:pStyle w:val="Paragrafi0"/>
      </w:pPr>
    </w:p>
    <w:sectPr w:rsidR="00647F68" w:rsidRPr="00D035B7" w:rsidSect="00647F68">
      <w:footerReference w:type="even" r:id="rId6"/>
      <w:footerReference w:type="default" r:id="rId7"/>
      <w:footnotePr>
        <w:numRestart w:val="eachPage"/>
      </w:footnotePr>
      <w:pgSz w:w="11907" w:h="16840" w:code="9"/>
      <w:pgMar w:top="1701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B79D3">
      <w:r>
        <w:separator/>
      </w:r>
    </w:p>
  </w:endnote>
  <w:endnote w:type="continuationSeparator" w:id="0">
    <w:p w:rsidR="00000000" w:rsidRDefault="003B7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F68" w:rsidRDefault="00647F68" w:rsidP="00647F6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47F68" w:rsidRDefault="00647F68" w:rsidP="00647F6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F68" w:rsidRDefault="00647F68" w:rsidP="00647F6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47F68" w:rsidRDefault="00647F68" w:rsidP="00647F6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B79D3">
      <w:r>
        <w:separator/>
      </w:r>
    </w:p>
  </w:footnote>
  <w:footnote w:type="continuationSeparator" w:id="0">
    <w:p w:rsidR="00000000" w:rsidRDefault="003B7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7F68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B79D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47F68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4A3B8E-C8FF-419F-BF27-23FC7798E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F68"/>
    <w:rPr>
      <w:sz w:val="24"/>
      <w:szCs w:val="24"/>
      <w:lang w:val="it-IT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647F6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647F6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47F68"/>
  </w:style>
  <w:style w:type="paragraph" w:styleId="BodyTextIndent2">
    <w:name w:val="Body Text Indent 2"/>
    <w:basedOn w:val="Normal"/>
    <w:rsid w:val="00647F68"/>
    <w:pPr>
      <w:widowControl w:val="0"/>
      <w:autoSpaceDE w:val="0"/>
      <w:autoSpaceDN w:val="0"/>
      <w:adjustRightInd w:val="0"/>
      <w:ind w:firstLine="600"/>
    </w:pPr>
    <w:rPr>
      <w:sz w:val="28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