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0A6" w:rsidRPr="00567C1B" w:rsidRDefault="000C60A6" w:rsidP="000C60A6">
      <w:pPr>
        <w:pStyle w:val="Akti"/>
        <w:keepNext w:val="0"/>
        <w:rPr>
          <w:sz w:val="21"/>
          <w:szCs w:val="21"/>
        </w:rPr>
      </w:pPr>
      <w:bookmarkStart w:id="0" w:name="_GoBack"/>
      <w:bookmarkEnd w:id="0"/>
      <w:r w:rsidRPr="00567C1B">
        <w:rPr>
          <w:sz w:val="21"/>
          <w:szCs w:val="21"/>
        </w:rPr>
        <w:t xml:space="preserve">KËRKESË </w:t>
      </w:r>
    </w:p>
    <w:p w:rsidR="000C60A6" w:rsidRPr="00567C1B" w:rsidRDefault="000C60A6" w:rsidP="000C60A6">
      <w:pPr>
        <w:pStyle w:val="NumriData"/>
        <w:keepNext w:val="0"/>
        <w:rPr>
          <w:sz w:val="21"/>
          <w:szCs w:val="21"/>
        </w:rPr>
      </w:pPr>
      <w:r w:rsidRPr="00567C1B">
        <w:rPr>
          <w:sz w:val="21"/>
          <w:szCs w:val="21"/>
        </w:rPr>
        <w:t>Nr.1481/2, datë 14.4.2010</w:t>
      </w:r>
    </w:p>
    <w:p w:rsidR="000C60A6" w:rsidRPr="00567C1B" w:rsidRDefault="000C60A6" w:rsidP="000C60A6">
      <w:pPr>
        <w:pStyle w:val="Akti"/>
        <w:keepNext w:val="0"/>
        <w:jc w:val="left"/>
        <w:rPr>
          <w:sz w:val="21"/>
          <w:szCs w:val="21"/>
        </w:rPr>
      </w:pPr>
    </w:p>
    <w:p w:rsidR="000C60A6" w:rsidRPr="00567C1B" w:rsidRDefault="000C60A6" w:rsidP="000C60A6">
      <w:pPr>
        <w:pStyle w:val="Akti"/>
        <w:keepNext w:val="0"/>
        <w:rPr>
          <w:sz w:val="21"/>
          <w:szCs w:val="21"/>
        </w:rPr>
      </w:pPr>
      <w:r w:rsidRPr="00567C1B">
        <w:rPr>
          <w:sz w:val="21"/>
          <w:szCs w:val="21"/>
        </w:rPr>
        <w:t>PËR SHPRONËSIM ME INTERES PUBLIK</w:t>
      </w:r>
    </w:p>
    <w:p w:rsidR="000C60A6" w:rsidRPr="00567C1B" w:rsidRDefault="000C60A6" w:rsidP="000C60A6">
      <w:pPr>
        <w:pStyle w:val="Paragrafi0"/>
        <w:ind w:firstLine="0"/>
        <w:rPr>
          <w:sz w:val="21"/>
          <w:szCs w:val="21"/>
        </w:rPr>
      </w:pPr>
    </w:p>
    <w:p w:rsidR="000C60A6" w:rsidRPr="00567C1B" w:rsidRDefault="000C60A6" w:rsidP="000C60A6">
      <w:pPr>
        <w:pStyle w:val="Paragrafi0"/>
        <w:rPr>
          <w:sz w:val="21"/>
          <w:szCs w:val="21"/>
        </w:rPr>
      </w:pPr>
      <w:r w:rsidRPr="00567C1B">
        <w:rPr>
          <w:sz w:val="21"/>
          <w:szCs w:val="21"/>
        </w:rPr>
        <w:t>Në mbështetje të ligjit nr.8561, datë 22.12.1999 “Për shpronësimet dhe marrjen në përdorim të përkohshëm të pasurisë pronë private për interes publik”, Ministria e Punëve Publike, Transportit dhe Telekomunikacionit shpall kërkesën për shpronësim, për interes publik, të pasurive të paluajtshme pronë private, që preken nga ndërtimi i segmentit rrugor “Unaza Fushë-Arrës”.</w:t>
      </w:r>
    </w:p>
    <w:p w:rsidR="000C60A6" w:rsidRPr="00567C1B" w:rsidRDefault="000C60A6" w:rsidP="000C60A6">
      <w:pPr>
        <w:pStyle w:val="Paragrafi0"/>
        <w:rPr>
          <w:sz w:val="21"/>
          <w:szCs w:val="21"/>
        </w:rPr>
      </w:pPr>
      <w:r w:rsidRPr="00567C1B">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0C60A6" w:rsidRPr="00567C1B" w:rsidRDefault="000C60A6" w:rsidP="000C60A6">
      <w:pPr>
        <w:pStyle w:val="Paragrafi0"/>
        <w:rPr>
          <w:sz w:val="21"/>
          <w:szCs w:val="21"/>
        </w:rPr>
      </w:pPr>
      <w:r w:rsidRPr="00567C1B">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0C60A6" w:rsidRPr="00567C1B" w:rsidRDefault="000C60A6" w:rsidP="000C60A6">
      <w:pPr>
        <w:pStyle w:val="Paragrafi0"/>
        <w:rPr>
          <w:sz w:val="21"/>
          <w:szCs w:val="21"/>
        </w:rPr>
      </w:pPr>
      <w:r w:rsidRPr="00567C1B">
        <w:rPr>
          <w:sz w:val="21"/>
          <w:szCs w:val="21"/>
        </w:rPr>
        <w:t>Sqarojmë që kjo shpallje kërkese për shpronësim bëhet vetëm për pasurinë e llojit “tokë truall dhe objekte”.</w:t>
      </w:r>
    </w:p>
    <w:p w:rsidR="000C60A6" w:rsidRPr="00567C1B" w:rsidRDefault="000C60A6" w:rsidP="000C60A6">
      <w:pPr>
        <w:pStyle w:val="Paragrafi0"/>
        <w:rPr>
          <w:sz w:val="21"/>
          <w:szCs w:val="21"/>
        </w:rPr>
      </w:pPr>
      <w:r w:rsidRPr="00567C1B">
        <w:rPr>
          <w:sz w:val="21"/>
          <w:szCs w:val="21"/>
        </w:rPr>
        <w:t>Pasuritë me shënimin “Proces regjistrimi, plotësim dokumentacioni (objekti)” do të kompensohen pasi të kenë përfunduar regjistrimin e pasurisë në zyrën e regjistrimit të pasurive të paluajtshme, si dhe të kenë paraqitur dokumentin hipotekor të pronës (brenda afateve të vlefshmërisë së tij). Pasuritë me shënimin “Konfirmim nga ZRPP” do të kompensohen pas daljes së vendimit të Këshillit të Ministrave,  si dhe pasi të kenë dorëzuar dokumentin e pronësisë pranë DPRR-së.</w:t>
      </w:r>
    </w:p>
    <w:p w:rsidR="000C60A6" w:rsidRPr="00567C1B" w:rsidRDefault="000C60A6" w:rsidP="000C60A6">
      <w:pPr>
        <w:pStyle w:val="Paragrafi0"/>
        <w:rPr>
          <w:sz w:val="21"/>
          <w:szCs w:val="21"/>
        </w:rPr>
      </w:pPr>
      <w:r w:rsidRPr="00567C1B">
        <w:rPr>
          <w:sz w:val="21"/>
          <w:szCs w:val="21"/>
        </w:rPr>
        <w:t>Vlera totale e shpronësimit është 29 981 708 (njëzet e nëntë milionë e nëntëqind e tetëdhjetë e një mijë e shtatëqind e tetë) lekë.</w:t>
      </w:r>
    </w:p>
    <w:p w:rsidR="000C60A6" w:rsidRPr="00567C1B" w:rsidRDefault="000C60A6" w:rsidP="000C60A6">
      <w:pPr>
        <w:pStyle w:val="Paragrafi0"/>
        <w:rPr>
          <w:sz w:val="21"/>
          <w:szCs w:val="21"/>
        </w:rPr>
      </w:pPr>
    </w:p>
    <w:p w:rsidR="000C60A6" w:rsidRPr="000C60A6" w:rsidRDefault="000C60A6" w:rsidP="000C60A6">
      <w:pPr>
        <w:pStyle w:val="Autoriteti"/>
        <w:keepNext w:val="0"/>
        <w:rPr>
          <w:sz w:val="21"/>
          <w:szCs w:val="21"/>
          <w:lang w:val="it-IT"/>
        </w:rPr>
      </w:pPr>
      <w:r w:rsidRPr="000C60A6">
        <w:rPr>
          <w:sz w:val="21"/>
          <w:szCs w:val="21"/>
          <w:lang w:val="it-IT"/>
        </w:rPr>
        <w:t xml:space="preserve">MINISTRI I PUNËVE PUBLIKE, </w:t>
      </w:r>
    </w:p>
    <w:p w:rsidR="000C60A6" w:rsidRPr="000C60A6" w:rsidRDefault="000C60A6" w:rsidP="000C60A6">
      <w:pPr>
        <w:pStyle w:val="Autoriteti"/>
        <w:keepNext w:val="0"/>
        <w:rPr>
          <w:sz w:val="21"/>
          <w:szCs w:val="21"/>
          <w:lang w:val="it-IT"/>
        </w:rPr>
      </w:pPr>
      <w:r w:rsidRPr="000C60A6">
        <w:rPr>
          <w:sz w:val="21"/>
          <w:szCs w:val="21"/>
          <w:lang w:val="it-IT"/>
        </w:rPr>
        <w:t>TRANSPORTIT DHE TELEKOMUNIKACIONIT</w:t>
      </w:r>
    </w:p>
    <w:p w:rsidR="000C60A6" w:rsidRPr="000C60A6" w:rsidRDefault="000C60A6" w:rsidP="000C60A6">
      <w:pPr>
        <w:pStyle w:val="AutoritetiEmer"/>
        <w:rPr>
          <w:sz w:val="21"/>
          <w:szCs w:val="21"/>
          <w:lang w:val="it-IT"/>
        </w:rPr>
      </w:pPr>
      <w:r w:rsidRPr="000C60A6">
        <w:rPr>
          <w:sz w:val="21"/>
          <w:szCs w:val="21"/>
          <w:lang w:val="it-IT"/>
        </w:rPr>
        <w:t>Sokol Olldashi</w:t>
      </w:r>
    </w:p>
    <w:p w:rsidR="000C60A6" w:rsidRPr="000C60A6" w:rsidRDefault="000C60A6" w:rsidP="000C60A6">
      <w:pPr>
        <w:pStyle w:val="Paragrafi0"/>
        <w:rPr>
          <w:lang w:val="it-IT"/>
        </w:rPr>
      </w:pPr>
    </w:p>
    <w:p w:rsidR="000C60A6" w:rsidRPr="000C60A6" w:rsidRDefault="000C60A6" w:rsidP="000C60A6">
      <w:pPr>
        <w:pStyle w:val="Paragrafi0"/>
        <w:rPr>
          <w:lang w:val="it-IT"/>
        </w:rPr>
      </w:pPr>
      <w:r w:rsidRPr="000C60A6">
        <w:rPr>
          <w:lang w:val="it-IT"/>
        </w:rPr>
        <w:t xml:space="preserve">          </w:t>
      </w: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pPr>
    </w:p>
    <w:p w:rsidR="000C60A6" w:rsidRPr="000C60A6" w:rsidRDefault="000C60A6" w:rsidP="000C60A6">
      <w:pPr>
        <w:pStyle w:val="Paragrafi0"/>
        <w:rPr>
          <w:lang w:val="it-IT"/>
        </w:rPr>
        <w:sectPr w:rsidR="000C60A6" w:rsidRPr="000C60A6" w:rsidSect="000C60A6">
          <w:pgSz w:w="11907" w:h="16840" w:code="9"/>
          <w:pgMar w:top="1418" w:right="1418" w:bottom="1418" w:left="1418" w:header="1304" w:footer="1134" w:gutter="0"/>
          <w:cols w:space="720"/>
          <w:docGrid w:linePitch="360"/>
        </w:sectPr>
      </w:pPr>
    </w:p>
    <w:p w:rsidR="000C60A6" w:rsidRPr="000C60A6" w:rsidRDefault="000C60A6" w:rsidP="000C60A6">
      <w:pPr>
        <w:pStyle w:val="Paragrafi0"/>
        <w:rPr>
          <w:lang w:val="it-IT"/>
        </w:rPr>
      </w:pPr>
      <w:r w:rsidRPr="000C60A6">
        <w:rPr>
          <w:lang w:val="it-IT"/>
        </w:rPr>
        <w:lastRenderedPageBreak/>
        <w:t>REPUBLIKA E SHQIPËRISË</w:t>
      </w:r>
    </w:p>
    <w:p w:rsidR="000C60A6" w:rsidRPr="000C60A6" w:rsidRDefault="000C60A6" w:rsidP="000C60A6">
      <w:pPr>
        <w:pStyle w:val="Paragrafi0"/>
        <w:rPr>
          <w:lang w:val="it-IT"/>
        </w:rPr>
      </w:pPr>
      <w:r w:rsidRPr="000C60A6">
        <w:rPr>
          <w:lang w:val="it-IT"/>
        </w:rPr>
        <w:t>MINISTRIA E PUNËVE PUBLIKE TRANSPORTIT DHE TELEKOMUNIKACIONIT</w:t>
      </w:r>
    </w:p>
    <w:p w:rsidR="000C60A6" w:rsidRPr="000C60A6" w:rsidRDefault="000C60A6" w:rsidP="000C60A6">
      <w:pPr>
        <w:pStyle w:val="Paragrafi0"/>
        <w:rPr>
          <w:lang w:val="it-IT"/>
        </w:rPr>
      </w:pPr>
      <w:r w:rsidRPr="000C60A6">
        <w:rPr>
          <w:lang w:val="it-IT"/>
        </w:rPr>
        <w:t>DREJTORIA E PËRGJITHSHME E RRUGËVE</w:t>
      </w:r>
    </w:p>
    <w:p w:rsidR="000C60A6" w:rsidRPr="000C60A6" w:rsidRDefault="000C60A6" w:rsidP="000C60A6">
      <w:pPr>
        <w:pStyle w:val="Paragrafi0"/>
        <w:rPr>
          <w:lang w:val="it-IT"/>
        </w:rPr>
      </w:pPr>
      <w:r w:rsidRPr="000C60A6">
        <w:rPr>
          <w:lang w:val="it-IT"/>
        </w:rPr>
        <w:t>DREJTORIA E SHPONËSIMEVE</w:t>
      </w:r>
    </w:p>
    <w:p w:rsidR="000C60A6" w:rsidRPr="000C60A6" w:rsidRDefault="000C60A6" w:rsidP="000C60A6">
      <w:pPr>
        <w:pStyle w:val="Paragrafi0"/>
        <w:rPr>
          <w:lang w:val="it-IT"/>
        </w:rPr>
      </w:pPr>
    </w:p>
    <w:p w:rsidR="000C60A6" w:rsidRPr="000C60A6" w:rsidRDefault="000C60A6" w:rsidP="000C60A6">
      <w:pPr>
        <w:pStyle w:val="Paragrafi0"/>
        <w:jc w:val="center"/>
        <w:rPr>
          <w:rFonts w:cs="Arial"/>
          <w:bCs/>
          <w:sz w:val="16"/>
          <w:szCs w:val="16"/>
          <w:lang w:val="it-IT"/>
        </w:rPr>
      </w:pPr>
      <w:r w:rsidRPr="000C60A6">
        <w:rPr>
          <w:rFonts w:cs="Arial"/>
          <w:bCs/>
          <w:sz w:val="16"/>
          <w:szCs w:val="16"/>
          <w:lang w:val="it-IT"/>
        </w:rPr>
        <w:t>LISTA PARAPRAKE E PRONARËVE, PASURITË E TE CILËVE SHPRONËSOHEN SI REZULTAT I NDËRTIMIT TË SEGMENTIT RRUGOR "UNAZA FUSHË- ARRËZ"</w:t>
      </w:r>
    </w:p>
    <w:p w:rsidR="000C60A6" w:rsidRPr="000C60A6" w:rsidRDefault="000C60A6" w:rsidP="000C60A6">
      <w:pPr>
        <w:pStyle w:val="Paragrafi0"/>
        <w:rPr>
          <w:lang w:val="it-IT"/>
        </w:rPr>
      </w:pPr>
    </w:p>
    <w:tbl>
      <w:tblPr>
        <w:tblW w:w="4856" w:type="pct"/>
        <w:jc w:val="center"/>
        <w:tblLayout w:type="fixed"/>
        <w:tblLook w:val="0000" w:firstRow="0" w:lastRow="0" w:firstColumn="0" w:lastColumn="0" w:noHBand="0" w:noVBand="0"/>
      </w:tblPr>
      <w:tblGrid>
        <w:gridCol w:w="488"/>
        <w:gridCol w:w="2605"/>
        <w:gridCol w:w="1005"/>
        <w:gridCol w:w="826"/>
        <w:gridCol w:w="771"/>
        <w:gridCol w:w="751"/>
        <w:gridCol w:w="768"/>
        <w:gridCol w:w="1953"/>
        <w:gridCol w:w="1094"/>
        <w:gridCol w:w="1030"/>
        <w:gridCol w:w="2519"/>
      </w:tblGrid>
      <w:tr w:rsidR="000C60A6" w:rsidRPr="000C60A6" w:rsidTr="000C60A6">
        <w:trPr>
          <w:trHeight w:val="210"/>
          <w:jc w:val="center"/>
        </w:trPr>
        <w:tc>
          <w:tcPr>
            <w:tcW w:w="17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60A6" w:rsidRPr="000C60A6" w:rsidRDefault="000C60A6" w:rsidP="000C60A6">
            <w:pPr>
              <w:pStyle w:val="Tabele"/>
              <w:rPr>
                <w:sz w:val="14"/>
                <w:szCs w:val="14"/>
              </w:rPr>
            </w:pPr>
            <w:r w:rsidRPr="000C60A6">
              <w:rPr>
                <w:sz w:val="14"/>
                <w:szCs w:val="14"/>
              </w:rPr>
              <w:t>Nr</w:t>
            </w:r>
          </w:p>
        </w:tc>
        <w:tc>
          <w:tcPr>
            <w:tcW w:w="9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60A6" w:rsidRPr="000C60A6" w:rsidRDefault="000C60A6" w:rsidP="000C60A6">
            <w:pPr>
              <w:pStyle w:val="Tabele"/>
              <w:rPr>
                <w:sz w:val="14"/>
                <w:szCs w:val="14"/>
              </w:rPr>
            </w:pPr>
            <w:r w:rsidRPr="000C60A6">
              <w:rPr>
                <w:sz w:val="14"/>
                <w:szCs w:val="14"/>
              </w:rPr>
              <w:t xml:space="preserve">EMRI, ATËSIA, MBIEMERI </w:t>
            </w:r>
          </w:p>
        </w:tc>
        <w:tc>
          <w:tcPr>
            <w:tcW w:w="364"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60A6" w:rsidRPr="000C60A6" w:rsidRDefault="000C60A6" w:rsidP="000C60A6">
            <w:pPr>
              <w:pStyle w:val="Tabele"/>
              <w:rPr>
                <w:sz w:val="14"/>
                <w:szCs w:val="14"/>
              </w:rPr>
            </w:pPr>
            <w:r w:rsidRPr="000C60A6">
              <w:rPr>
                <w:sz w:val="14"/>
                <w:szCs w:val="14"/>
              </w:rPr>
              <w:t>Z.Kadast.</w:t>
            </w:r>
          </w:p>
        </w:tc>
        <w:tc>
          <w:tcPr>
            <w:tcW w:w="299"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60A6" w:rsidRPr="000C60A6" w:rsidRDefault="000C60A6" w:rsidP="000C60A6">
            <w:pPr>
              <w:pStyle w:val="Tabele"/>
              <w:rPr>
                <w:sz w:val="14"/>
                <w:szCs w:val="14"/>
              </w:rPr>
            </w:pPr>
            <w:r w:rsidRPr="000C60A6">
              <w:rPr>
                <w:sz w:val="14"/>
                <w:szCs w:val="14"/>
              </w:rPr>
              <w:t>Nr.Pas.</w:t>
            </w:r>
          </w:p>
        </w:tc>
        <w:tc>
          <w:tcPr>
            <w:tcW w:w="829" w:type="pct"/>
            <w:gridSpan w:val="3"/>
            <w:tcBorders>
              <w:top w:val="single" w:sz="4" w:space="0" w:color="auto"/>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TRUALL</w:t>
            </w:r>
          </w:p>
        </w:tc>
        <w:tc>
          <w:tcPr>
            <w:tcW w:w="1103" w:type="pct"/>
            <w:gridSpan w:val="2"/>
            <w:tcBorders>
              <w:top w:val="single" w:sz="4" w:space="0" w:color="auto"/>
              <w:left w:val="nil"/>
              <w:bottom w:val="single" w:sz="4" w:space="0" w:color="auto"/>
              <w:right w:val="single" w:sz="4" w:space="0" w:color="auto"/>
            </w:tcBorders>
            <w:shd w:val="clear" w:color="auto" w:fill="auto"/>
            <w:vAlign w:val="center"/>
          </w:tcPr>
          <w:p w:rsidR="000C60A6" w:rsidRPr="000C60A6" w:rsidRDefault="000C60A6" w:rsidP="000C60A6">
            <w:pPr>
              <w:pStyle w:val="Tabele"/>
              <w:rPr>
                <w:sz w:val="14"/>
                <w:szCs w:val="14"/>
              </w:rPr>
            </w:pPr>
            <w:r w:rsidRPr="000C60A6">
              <w:rPr>
                <w:sz w:val="14"/>
                <w:szCs w:val="14"/>
              </w:rPr>
              <w:t>OBJEKTE</w:t>
            </w:r>
          </w:p>
        </w:tc>
        <w:tc>
          <w:tcPr>
            <w:tcW w:w="37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60A6" w:rsidRPr="000C60A6" w:rsidRDefault="000C60A6" w:rsidP="000C60A6">
            <w:pPr>
              <w:pStyle w:val="Tabele"/>
              <w:rPr>
                <w:sz w:val="14"/>
                <w:szCs w:val="14"/>
              </w:rPr>
            </w:pPr>
            <w:r w:rsidRPr="000C60A6">
              <w:rPr>
                <w:sz w:val="14"/>
                <w:szCs w:val="14"/>
              </w:rPr>
              <w:t>Vlera totale</w:t>
            </w:r>
            <w:r w:rsidRPr="000C60A6">
              <w:rPr>
                <w:sz w:val="14"/>
                <w:szCs w:val="14"/>
              </w:rPr>
              <w:br/>
              <w:t>(lekë)</w:t>
            </w:r>
          </w:p>
        </w:tc>
        <w:tc>
          <w:tcPr>
            <w:tcW w:w="91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60A6" w:rsidRPr="000C60A6" w:rsidRDefault="000C60A6" w:rsidP="000C60A6">
            <w:pPr>
              <w:pStyle w:val="Tabele"/>
              <w:rPr>
                <w:sz w:val="14"/>
                <w:szCs w:val="14"/>
              </w:rPr>
            </w:pPr>
            <w:r w:rsidRPr="000C60A6">
              <w:rPr>
                <w:sz w:val="14"/>
                <w:szCs w:val="14"/>
              </w:rPr>
              <w:t>SHËNIME</w:t>
            </w:r>
          </w:p>
        </w:tc>
      </w:tr>
      <w:tr w:rsidR="000C60A6" w:rsidRPr="000C60A6" w:rsidTr="000C60A6">
        <w:trPr>
          <w:trHeight w:val="264"/>
          <w:jc w:val="center"/>
        </w:trPr>
        <w:tc>
          <w:tcPr>
            <w:tcW w:w="177" w:type="pct"/>
            <w:vMerge/>
            <w:tcBorders>
              <w:top w:val="single" w:sz="4" w:space="0" w:color="auto"/>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943" w:type="pct"/>
            <w:vMerge/>
            <w:tcBorders>
              <w:top w:val="single" w:sz="4" w:space="0" w:color="auto"/>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364" w:type="pct"/>
            <w:vMerge/>
            <w:tcBorders>
              <w:top w:val="single" w:sz="4" w:space="0" w:color="auto"/>
              <w:left w:val="single" w:sz="4" w:space="0" w:color="auto"/>
              <w:bottom w:val="single" w:sz="4" w:space="0" w:color="000000"/>
              <w:right w:val="single" w:sz="4" w:space="0" w:color="auto"/>
            </w:tcBorders>
            <w:vAlign w:val="center"/>
          </w:tcPr>
          <w:p w:rsidR="000C60A6" w:rsidRPr="000C60A6" w:rsidRDefault="000C60A6" w:rsidP="000C60A6">
            <w:pPr>
              <w:pStyle w:val="Tabele"/>
              <w:rPr>
                <w:b/>
                <w:sz w:val="14"/>
                <w:szCs w:val="14"/>
              </w:rPr>
            </w:pPr>
          </w:p>
        </w:tc>
        <w:tc>
          <w:tcPr>
            <w:tcW w:w="299" w:type="pct"/>
            <w:vMerge/>
            <w:tcBorders>
              <w:top w:val="single" w:sz="4" w:space="0" w:color="auto"/>
              <w:left w:val="single" w:sz="4" w:space="0" w:color="auto"/>
              <w:bottom w:val="single" w:sz="4" w:space="0" w:color="000000"/>
              <w:right w:val="single" w:sz="4" w:space="0" w:color="auto"/>
            </w:tcBorders>
            <w:vAlign w:val="center"/>
          </w:tcPr>
          <w:p w:rsidR="000C60A6" w:rsidRPr="000C60A6" w:rsidRDefault="000C60A6" w:rsidP="000C60A6">
            <w:pPr>
              <w:pStyle w:val="Tabele"/>
              <w:rPr>
                <w:b/>
                <w:sz w:val="14"/>
                <w:szCs w:val="14"/>
              </w:rPr>
            </w:pPr>
          </w:p>
        </w:tc>
        <w:tc>
          <w:tcPr>
            <w:tcW w:w="279" w:type="pct"/>
            <w:vMerge w:val="restart"/>
            <w:tcBorders>
              <w:top w:val="nil"/>
              <w:left w:val="single" w:sz="4" w:space="0" w:color="auto"/>
              <w:bottom w:val="single" w:sz="4" w:space="0" w:color="auto"/>
              <w:right w:val="single" w:sz="4" w:space="0" w:color="auto"/>
            </w:tcBorders>
            <w:shd w:val="clear" w:color="auto" w:fill="auto"/>
            <w:vAlign w:val="center"/>
          </w:tcPr>
          <w:p w:rsidR="000C60A6" w:rsidRPr="000C60A6" w:rsidRDefault="000C60A6" w:rsidP="000C60A6">
            <w:pPr>
              <w:pStyle w:val="Tabele"/>
              <w:rPr>
                <w:sz w:val="14"/>
                <w:szCs w:val="14"/>
              </w:rPr>
            </w:pPr>
            <w:r w:rsidRPr="000C60A6">
              <w:rPr>
                <w:sz w:val="14"/>
                <w:szCs w:val="14"/>
              </w:rPr>
              <w:t>Sip.m</w:t>
            </w:r>
            <w:r w:rsidRPr="000C60A6">
              <w:rPr>
                <w:sz w:val="14"/>
                <w:szCs w:val="14"/>
                <w:vertAlign w:val="superscript"/>
              </w:rPr>
              <w:t>2</w:t>
            </w:r>
          </w:p>
        </w:tc>
        <w:tc>
          <w:tcPr>
            <w:tcW w:w="272" w:type="pct"/>
            <w:vMerge w:val="restart"/>
            <w:tcBorders>
              <w:top w:val="nil"/>
              <w:left w:val="single" w:sz="4" w:space="0" w:color="auto"/>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rPr>
            </w:pPr>
            <w:r w:rsidRPr="000C60A6">
              <w:rPr>
                <w:sz w:val="14"/>
                <w:szCs w:val="14"/>
              </w:rPr>
              <w:t>Çmimi m</w:t>
            </w:r>
            <w:r w:rsidRPr="000C60A6">
              <w:rPr>
                <w:sz w:val="14"/>
                <w:szCs w:val="14"/>
                <w:vertAlign w:val="superscript"/>
              </w:rPr>
              <w:t>2</w:t>
            </w:r>
          </w:p>
        </w:tc>
        <w:tc>
          <w:tcPr>
            <w:tcW w:w="278" w:type="pct"/>
            <w:vMerge w:val="restart"/>
            <w:tcBorders>
              <w:top w:val="nil"/>
              <w:left w:val="single" w:sz="4" w:space="0" w:color="auto"/>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rPr>
            </w:pPr>
            <w:r w:rsidRPr="000C60A6">
              <w:rPr>
                <w:sz w:val="14"/>
                <w:szCs w:val="14"/>
              </w:rPr>
              <w:t>Vlera në lekë</w:t>
            </w:r>
          </w:p>
        </w:tc>
        <w:tc>
          <w:tcPr>
            <w:tcW w:w="707" w:type="pct"/>
            <w:vMerge w:val="restart"/>
            <w:tcBorders>
              <w:top w:val="nil"/>
              <w:left w:val="single" w:sz="4" w:space="0" w:color="auto"/>
              <w:bottom w:val="single" w:sz="4" w:space="0" w:color="auto"/>
              <w:right w:val="single" w:sz="4" w:space="0" w:color="auto"/>
            </w:tcBorders>
            <w:shd w:val="clear" w:color="auto" w:fill="auto"/>
            <w:vAlign w:val="center"/>
          </w:tcPr>
          <w:p w:rsidR="000C60A6" w:rsidRPr="000C60A6" w:rsidRDefault="000C60A6" w:rsidP="000C60A6">
            <w:pPr>
              <w:pStyle w:val="Tabele"/>
              <w:rPr>
                <w:sz w:val="14"/>
                <w:szCs w:val="14"/>
              </w:rPr>
            </w:pPr>
            <w:r w:rsidRPr="000C60A6">
              <w:rPr>
                <w:sz w:val="14"/>
                <w:szCs w:val="14"/>
              </w:rPr>
              <w:t>Lloi i objektit</w:t>
            </w:r>
          </w:p>
        </w:tc>
        <w:tc>
          <w:tcPr>
            <w:tcW w:w="396" w:type="pct"/>
            <w:vMerge w:val="restart"/>
            <w:tcBorders>
              <w:top w:val="nil"/>
              <w:left w:val="single" w:sz="4" w:space="0" w:color="auto"/>
              <w:bottom w:val="single" w:sz="4" w:space="0" w:color="auto"/>
              <w:right w:val="single" w:sz="4" w:space="0" w:color="auto"/>
            </w:tcBorders>
            <w:shd w:val="clear" w:color="auto" w:fill="auto"/>
            <w:vAlign w:val="center"/>
          </w:tcPr>
          <w:p w:rsidR="000C60A6" w:rsidRPr="000C60A6" w:rsidRDefault="000C60A6" w:rsidP="000C60A6">
            <w:pPr>
              <w:pStyle w:val="Tabele"/>
              <w:rPr>
                <w:sz w:val="14"/>
                <w:szCs w:val="14"/>
              </w:rPr>
            </w:pPr>
            <w:r w:rsidRPr="000C60A6">
              <w:rPr>
                <w:sz w:val="14"/>
                <w:szCs w:val="14"/>
              </w:rPr>
              <w:t>Vlera në lekë</w:t>
            </w:r>
          </w:p>
        </w:tc>
        <w:tc>
          <w:tcPr>
            <w:tcW w:w="373" w:type="pct"/>
            <w:vMerge/>
            <w:tcBorders>
              <w:top w:val="single" w:sz="4" w:space="0" w:color="auto"/>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912" w:type="pct"/>
            <w:vMerge/>
            <w:tcBorders>
              <w:top w:val="single" w:sz="4" w:space="0" w:color="auto"/>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r>
      <w:tr w:rsidR="000C60A6" w:rsidRPr="000C60A6" w:rsidTr="000C60A6">
        <w:trPr>
          <w:trHeight w:val="285"/>
          <w:jc w:val="center"/>
        </w:trPr>
        <w:tc>
          <w:tcPr>
            <w:tcW w:w="177" w:type="pct"/>
            <w:vMerge/>
            <w:tcBorders>
              <w:top w:val="single" w:sz="4" w:space="0" w:color="auto"/>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943" w:type="pct"/>
            <w:vMerge/>
            <w:tcBorders>
              <w:top w:val="single" w:sz="4" w:space="0" w:color="auto"/>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364" w:type="pct"/>
            <w:vMerge/>
            <w:tcBorders>
              <w:top w:val="single" w:sz="4" w:space="0" w:color="auto"/>
              <w:left w:val="single" w:sz="4" w:space="0" w:color="auto"/>
              <w:bottom w:val="single" w:sz="4" w:space="0" w:color="000000"/>
              <w:right w:val="single" w:sz="4" w:space="0" w:color="auto"/>
            </w:tcBorders>
            <w:vAlign w:val="center"/>
          </w:tcPr>
          <w:p w:rsidR="000C60A6" w:rsidRPr="000C60A6" w:rsidRDefault="000C60A6" w:rsidP="000C60A6">
            <w:pPr>
              <w:pStyle w:val="Tabele"/>
              <w:rPr>
                <w:b/>
                <w:sz w:val="14"/>
                <w:szCs w:val="14"/>
              </w:rPr>
            </w:pPr>
          </w:p>
        </w:tc>
        <w:tc>
          <w:tcPr>
            <w:tcW w:w="299" w:type="pct"/>
            <w:vMerge/>
            <w:tcBorders>
              <w:top w:val="single" w:sz="4" w:space="0" w:color="auto"/>
              <w:left w:val="single" w:sz="4" w:space="0" w:color="auto"/>
              <w:bottom w:val="single" w:sz="4" w:space="0" w:color="000000"/>
              <w:right w:val="single" w:sz="4" w:space="0" w:color="auto"/>
            </w:tcBorders>
            <w:vAlign w:val="center"/>
          </w:tcPr>
          <w:p w:rsidR="000C60A6" w:rsidRPr="000C60A6" w:rsidRDefault="000C60A6" w:rsidP="000C60A6">
            <w:pPr>
              <w:pStyle w:val="Tabele"/>
              <w:rPr>
                <w:b/>
                <w:sz w:val="14"/>
                <w:szCs w:val="14"/>
              </w:rPr>
            </w:pPr>
          </w:p>
        </w:tc>
        <w:tc>
          <w:tcPr>
            <w:tcW w:w="279" w:type="pct"/>
            <w:vMerge/>
            <w:tcBorders>
              <w:top w:val="nil"/>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272" w:type="pct"/>
            <w:vMerge/>
            <w:tcBorders>
              <w:top w:val="nil"/>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278" w:type="pct"/>
            <w:vMerge/>
            <w:tcBorders>
              <w:top w:val="nil"/>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707" w:type="pct"/>
            <w:vMerge/>
            <w:tcBorders>
              <w:top w:val="nil"/>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396" w:type="pct"/>
            <w:vMerge/>
            <w:tcBorders>
              <w:top w:val="nil"/>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373" w:type="pct"/>
            <w:vMerge/>
            <w:tcBorders>
              <w:top w:val="single" w:sz="4" w:space="0" w:color="auto"/>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c>
          <w:tcPr>
            <w:tcW w:w="912" w:type="pct"/>
            <w:vMerge/>
            <w:tcBorders>
              <w:top w:val="single" w:sz="4" w:space="0" w:color="auto"/>
              <w:left w:val="single" w:sz="4" w:space="0" w:color="auto"/>
              <w:bottom w:val="single" w:sz="4" w:space="0" w:color="auto"/>
              <w:right w:val="single" w:sz="4" w:space="0" w:color="auto"/>
            </w:tcBorders>
            <w:vAlign w:val="center"/>
          </w:tcPr>
          <w:p w:rsidR="000C60A6" w:rsidRPr="000C60A6" w:rsidRDefault="000C60A6" w:rsidP="000C60A6">
            <w:pPr>
              <w:pStyle w:val="Tabele"/>
              <w:rPr>
                <w:b/>
                <w:sz w:val="14"/>
                <w:szCs w:val="14"/>
              </w:rPr>
            </w:pP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Fran  Ndue Qafa</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14</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36</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642</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23112</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Bodrum </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623382</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646494</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2</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Sejdi  Mus  Sadria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53</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48</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642</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30816</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Lokal+Ambjente Sanitare </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4900089</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4930905</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3</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Kol  Pjetre  Kola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1002</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642</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643284</w:t>
            </w:r>
          </w:p>
        </w:tc>
        <w:tc>
          <w:tcPr>
            <w:tcW w:w="707"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rPr>
            </w:pPr>
            <w:r w:rsidRPr="000C60A6">
              <w:rPr>
                <w:sz w:val="14"/>
                <w:szCs w:val="14"/>
              </w:rPr>
              <w:t>Ambjent ndertimi, perpunim druri</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3982489</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4625773</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4</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Zef  Lek  Ndoci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176</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46</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642</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29532</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Pike karburanti </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4492852</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4522384</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5</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Zef  Lek  Ndoci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1161</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128</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642</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82176</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82176</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rPr>
            </w:pPr>
            <w:r w:rsidRPr="000C60A6">
              <w:rPr>
                <w:sz w:val="14"/>
                <w:szCs w:val="14"/>
              </w:rPr>
              <w:t>Konfirmim nga ZRPP</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Viktor  Ndue  Qafa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106</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642</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3852</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3852</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rPr>
            </w:pPr>
            <w:r w:rsidRPr="000C60A6">
              <w:rPr>
                <w:sz w:val="14"/>
                <w:szCs w:val="14"/>
              </w:rPr>
              <w:t>Konfirmim nga ZRPP</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7</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Ndrec  Ndue Qafa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5</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210</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642</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134820</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134820</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rPr>
            </w:pPr>
            <w:r w:rsidRPr="000C60A6">
              <w:rPr>
                <w:sz w:val="14"/>
                <w:szCs w:val="14"/>
              </w:rPr>
              <w:t>Konfirmim nga ZRPP</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8</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Tonin Viktor Qafa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130</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55</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642</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35310</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Karburant</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5394666</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5429976</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9</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Marash Mehill Pepa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1332</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Gomisteri</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1506408</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1506408</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10</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Marjana Mark  Bala</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14</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Bar Bufe </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1889646</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1889646</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11</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Leonard Nik Leka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1099/1</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Kapanon</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639941</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639941</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12</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Gjovalin Lek Ndoci</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84</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Karburant</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988347</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988347</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13</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Alfred Lek  Ndoci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1543</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Bar -Bufe </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2228712</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2228712</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14</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Zef Ndue Qafa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1606</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xml:space="preserve">Stalle </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1674274</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1674274</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15</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Pjeter Preng Bardhoku</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1656</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90</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Gomisteri</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678000</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678000</w:t>
            </w:r>
          </w:p>
        </w:tc>
        <w:tc>
          <w:tcPr>
            <w:tcW w:w="912" w:type="pct"/>
            <w:tcBorders>
              <w:top w:val="nil"/>
              <w:left w:val="nil"/>
              <w:bottom w:val="single" w:sz="4" w:space="0" w:color="auto"/>
              <w:right w:val="single" w:sz="4" w:space="0" w:color="auto"/>
            </w:tcBorders>
            <w:shd w:val="clear" w:color="auto" w:fill="auto"/>
            <w:vAlign w:val="bottom"/>
          </w:tcPr>
          <w:p w:rsidR="000C60A6" w:rsidRPr="000C60A6" w:rsidRDefault="000C60A6" w:rsidP="000C60A6">
            <w:pPr>
              <w:pStyle w:val="Tabele"/>
              <w:rPr>
                <w:sz w:val="14"/>
                <w:szCs w:val="14"/>
                <w:lang w:val="it-IT"/>
              </w:rPr>
            </w:pPr>
            <w:r w:rsidRPr="000C60A6">
              <w:rPr>
                <w:sz w:val="14"/>
                <w:szCs w:val="14"/>
                <w:lang w:val="it-IT"/>
              </w:rPr>
              <w:t>Proces regjistrimi,plotesim dokumentacioni (objekti)</w:t>
            </w:r>
          </w:p>
        </w:tc>
      </w:tr>
      <w:tr w:rsidR="000C60A6" w:rsidRPr="000C60A6" w:rsidTr="000C60A6">
        <w:trPr>
          <w:trHeight w:val="139"/>
          <w:jc w:val="center"/>
        </w:trPr>
        <w:tc>
          <w:tcPr>
            <w:tcW w:w="177" w:type="pct"/>
            <w:tcBorders>
              <w:top w:val="nil"/>
              <w:left w:val="single" w:sz="4" w:space="0" w:color="auto"/>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lang w:val="it-IT"/>
              </w:rPr>
            </w:pPr>
            <w:r w:rsidRPr="000C60A6">
              <w:rPr>
                <w:sz w:val="14"/>
                <w:szCs w:val="14"/>
                <w:lang w:val="it-IT"/>
              </w:rPr>
              <w:t> </w:t>
            </w:r>
          </w:p>
        </w:tc>
        <w:tc>
          <w:tcPr>
            <w:tcW w:w="94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 xml:space="preserve">SHUMA </w:t>
            </w:r>
          </w:p>
        </w:tc>
        <w:tc>
          <w:tcPr>
            <w:tcW w:w="364"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9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9"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1531</w:t>
            </w:r>
          </w:p>
        </w:tc>
        <w:tc>
          <w:tcPr>
            <w:tcW w:w="27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278"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982902</w:t>
            </w:r>
          </w:p>
        </w:tc>
        <w:tc>
          <w:tcPr>
            <w:tcW w:w="707"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sz w:val="14"/>
                <w:szCs w:val="14"/>
              </w:rPr>
            </w:pPr>
            <w:r w:rsidRPr="000C60A6">
              <w:rPr>
                <w:sz w:val="14"/>
                <w:szCs w:val="14"/>
              </w:rPr>
              <w:t> </w:t>
            </w:r>
          </w:p>
        </w:tc>
        <w:tc>
          <w:tcPr>
            <w:tcW w:w="396"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28998806</w:t>
            </w:r>
          </w:p>
        </w:tc>
        <w:tc>
          <w:tcPr>
            <w:tcW w:w="373"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29981708</w:t>
            </w:r>
          </w:p>
        </w:tc>
        <w:tc>
          <w:tcPr>
            <w:tcW w:w="912" w:type="pct"/>
            <w:tcBorders>
              <w:top w:val="nil"/>
              <w:left w:val="nil"/>
              <w:bottom w:val="single" w:sz="4" w:space="0" w:color="auto"/>
              <w:right w:val="single" w:sz="4" w:space="0" w:color="auto"/>
            </w:tcBorders>
            <w:shd w:val="clear" w:color="auto" w:fill="auto"/>
            <w:noWrap/>
            <w:vAlign w:val="bottom"/>
          </w:tcPr>
          <w:p w:rsidR="000C60A6" w:rsidRPr="000C60A6" w:rsidRDefault="000C60A6" w:rsidP="000C60A6">
            <w:pPr>
              <w:pStyle w:val="Tabele"/>
              <w:rPr>
                <w:b/>
                <w:sz w:val="14"/>
                <w:szCs w:val="14"/>
              </w:rPr>
            </w:pPr>
            <w:r w:rsidRPr="000C60A6">
              <w:rPr>
                <w:b/>
                <w:sz w:val="14"/>
                <w:szCs w:val="14"/>
              </w:rPr>
              <w:t>TOTALI</w:t>
            </w:r>
          </w:p>
        </w:tc>
      </w:tr>
    </w:tbl>
    <w:p w:rsidR="000C60A6" w:rsidRDefault="000C60A6" w:rsidP="000C60A6">
      <w:pPr>
        <w:pStyle w:val="Akti"/>
        <w:keepNext w:val="0"/>
      </w:pPr>
    </w:p>
    <w:sectPr w:rsidR="000C60A6" w:rsidSect="000C60A6">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604D6">
      <w:r>
        <w:separator/>
      </w:r>
    </w:p>
  </w:endnote>
  <w:endnote w:type="continuationSeparator" w:id="0">
    <w:p w:rsidR="00000000" w:rsidRDefault="00260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604D6">
      <w:r>
        <w:separator/>
      </w:r>
    </w:p>
  </w:footnote>
  <w:footnote w:type="continuationSeparator" w:id="0">
    <w:p w:rsidR="00000000" w:rsidRDefault="002604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60A6"/>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A6"/>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00D"/>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4D6"/>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09C9"/>
    <w:rsid w:val="008A1672"/>
    <w:rsid w:val="008A1CE8"/>
    <w:rsid w:val="008A20A3"/>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6E28"/>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16C"/>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C7699B-5BCD-419F-8A78-FBA7FFE6F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0A6"/>
    <w:rPr>
      <w:rFonts w:eastAsia="Batang"/>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2019-03-22T10:08:00Z</dcterms:created>
  <dcterms:modified xsi:type="dcterms:W3CDTF">2019-03-22T10:08:00Z</dcterms:modified>
</cp:coreProperties>
</file>