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06D" w:rsidRDefault="002F206D" w:rsidP="002F206D">
      <w:pPr>
        <w:pStyle w:val="Akti"/>
        <w:keepNext w:val="0"/>
      </w:pPr>
      <w:bookmarkStart w:id="0" w:name="_GoBack"/>
      <w:bookmarkEnd w:id="0"/>
      <w:r>
        <w:t>Kërkesë</w:t>
      </w:r>
    </w:p>
    <w:p w:rsidR="002F206D" w:rsidRDefault="002F206D" w:rsidP="002F206D">
      <w:pPr>
        <w:pStyle w:val="NumriData"/>
      </w:pPr>
      <w:r>
        <w:t>Nr.649/3, datë 3.3.2011</w:t>
      </w:r>
    </w:p>
    <w:p w:rsidR="002F206D" w:rsidRPr="0021151E" w:rsidRDefault="002F206D" w:rsidP="002F206D">
      <w:pPr>
        <w:pStyle w:val="Paragrafi"/>
        <w:rPr>
          <w:sz w:val="10"/>
        </w:rPr>
      </w:pPr>
    </w:p>
    <w:p w:rsidR="002F206D" w:rsidRDefault="002F206D" w:rsidP="002F206D">
      <w:pPr>
        <w:pStyle w:val="Titulli"/>
      </w:pPr>
      <w:r>
        <w:t>për shpronësim publik</w:t>
      </w:r>
    </w:p>
    <w:p w:rsidR="002F206D" w:rsidRPr="0021151E" w:rsidRDefault="002F206D" w:rsidP="002F206D">
      <w:pPr>
        <w:pStyle w:val="Paragrafi"/>
        <w:rPr>
          <w:sz w:val="10"/>
        </w:rPr>
      </w:pPr>
    </w:p>
    <w:p w:rsidR="002F206D" w:rsidRDefault="002F206D" w:rsidP="002F206D">
      <w:pPr>
        <w:pStyle w:val="Paragrafi"/>
      </w:pPr>
      <w:r>
        <w:t>Ministria e Punëve Publike dhe Transportit shpall kërkesën, për shpronësim, për interes publik, të pasurive të paluajtshme, pronë private, që preken nga ndërtimi i segmentit rrugor “Unaza lindore-Shkodër” (truall, shtesa pas ndryshimit të projektit).</w:t>
      </w:r>
    </w:p>
    <w:p w:rsidR="002F206D" w:rsidRDefault="002F206D" w:rsidP="002F206D">
      <w:pPr>
        <w:pStyle w:val="Paragrafi"/>
      </w:pPr>
      <w:r>
        <w:t>Subjekti kërkues i këtij objekti është Drejtoria e Përgjithshme e Rrugëve. Me anë të këtij publikimi në shtyp, kërkojnë të vënë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2F206D" w:rsidRDefault="002F206D" w:rsidP="002F206D">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2F206D" w:rsidRDefault="002F206D" w:rsidP="002F206D">
      <w:pPr>
        <w:pStyle w:val="Paragrafi"/>
      </w:pPr>
      <w:r>
        <w:t>Pronarët për të cilët është bërë shënimi në “Proces regjistrimi nga ZRPP-ja” do të kompensohen për efekt shpronësimi, pasi të ketë përfunduar ky proces dhe të kenë paraqitur dokumentacionin e pronësisë pranë DPRR-së.</w:t>
      </w:r>
    </w:p>
    <w:p w:rsidR="002F206D" w:rsidRDefault="002F206D" w:rsidP="002F206D">
      <w:pPr>
        <w:pStyle w:val="Paragrafi"/>
      </w:pPr>
      <w:r>
        <w:t>Pronarët, për të cilët në kolonën “Shënime” në tabelën e publikuar, është bërë shënimi “Konfirmuar nga ZRPP-ja”,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2F206D" w:rsidRDefault="002F206D" w:rsidP="002F206D">
      <w:pPr>
        <w:pStyle w:val="Paragrafi"/>
      </w:pPr>
      <w:r>
        <w:t>Vlera totale e këtij shpronësimi është 95 299 600 (nëntëdhjetë e pesë milionë e dyqind e nëntëdhjetë e nëntë mijë e gjashtëqind) lekë.</w:t>
      </w:r>
    </w:p>
    <w:p w:rsidR="002F206D" w:rsidRDefault="002F206D" w:rsidP="002F206D">
      <w:pPr>
        <w:pStyle w:val="Autoriteti"/>
      </w:pPr>
      <w:r>
        <w:t xml:space="preserve">Ministri i punëve publike </w:t>
      </w:r>
    </w:p>
    <w:p w:rsidR="002F206D" w:rsidRDefault="002F206D" w:rsidP="002F206D">
      <w:pPr>
        <w:pStyle w:val="Autoriteti"/>
      </w:pPr>
      <w:r>
        <w:t>dhe transportit</w:t>
      </w:r>
    </w:p>
    <w:p w:rsidR="002F206D" w:rsidRDefault="002F206D" w:rsidP="002F206D">
      <w:pPr>
        <w:pStyle w:val="AutoritetiEmer"/>
      </w:pPr>
      <w:r>
        <w:t>Sokol Olldashi</w:t>
      </w:r>
    </w:p>
    <w:sectPr w:rsidR="002F206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F206D"/>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2F206D"/>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0FBD"/>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F13C05-AB08-4628-9801-58CFA0C9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2019-03-19T14:08:00Z</dcterms:created>
  <dcterms:modified xsi:type="dcterms:W3CDTF">2019-03-19T14:08:00Z</dcterms:modified>
</cp:coreProperties>
</file>