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82E" w:rsidRDefault="0016282E" w:rsidP="0016282E">
      <w:pPr>
        <w:pStyle w:val="NeniTitull"/>
        <w:rPr>
          <w:lang w:val="sq-AL"/>
        </w:rPr>
      </w:pPr>
      <w:r>
        <w:rPr>
          <w:lang w:val="sq-AL"/>
        </w:rPr>
        <w:t xml:space="preserve">KËRKESË </w:t>
      </w:r>
    </w:p>
    <w:p w:rsidR="0016282E" w:rsidRDefault="0016282E" w:rsidP="0016282E">
      <w:pPr>
        <w:pStyle w:val="NeniTitull"/>
        <w:rPr>
          <w:lang w:val="sq-AL"/>
        </w:rPr>
      </w:pPr>
      <w:r>
        <w:rPr>
          <w:lang w:val="sq-AL"/>
        </w:rPr>
        <w:t>Nr. 11641, datë 14.9.2018</w:t>
      </w:r>
    </w:p>
    <w:p w:rsidR="0016282E" w:rsidRDefault="0016282E" w:rsidP="0016282E">
      <w:pPr>
        <w:pStyle w:val="NeniTitull"/>
        <w:rPr>
          <w:sz w:val="10"/>
          <w:lang w:val="sq-AL"/>
        </w:rPr>
      </w:pPr>
    </w:p>
    <w:p w:rsidR="0016282E" w:rsidRDefault="0016282E" w:rsidP="0016282E">
      <w:pPr>
        <w:pStyle w:val="NeniTitull"/>
        <w:rPr>
          <w:lang w:val="sq-AL"/>
        </w:rPr>
      </w:pPr>
      <w:r>
        <w:rPr>
          <w:lang w:val="sq-AL"/>
        </w:rPr>
        <w:t>PËR SHPRONËSIM PUBLIK</w:t>
      </w:r>
    </w:p>
    <w:p w:rsidR="0016282E" w:rsidRDefault="0016282E" w:rsidP="0016282E">
      <w:pPr>
        <w:pStyle w:val="Paragrafi"/>
        <w:rPr>
          <w:sz w:val="14"/>
          <w:lang w:val="sq-AL"/>
        </w:rPr>
      </w:pPr>
    </w:p>
    <w:p w:rsidR="0016282E" w:rsidRDefault="0016282E" w:rsidP="0016282E">
      <w:pPr>
        <w:pStyle w:val="Paragrafi"/>
        <w:rPr>
          <w:lang w:val="sq-AL"/>
        </w:rPr>
      </w:pPr>
      <w:r>
        <w:rPr>
          <w:lang w:val="sq-AL"/>
        </w:rPr>
        <w:t xml:space="preserve">Ministria e Infrastrukturës dhe Energjisë shpall kërkesën për shpronësim, për interes publik, të pasurive të paluajtshme, pronë private, që preken nga rishikimi i projektit “Vlora-ACU, rikualifikim urban në qytetin e Vlorës, përgjatë shëtitores ‘P4_C2_a, b, c’”. </w:t>
      </w:r>
    </w:p>
    <w:p w:rsidR="0016282E" w:rsidRDefault="0016282E" w:rsidP="0016282E">
      <w:pPr>
        <w:pStyle w:val="Paragrafi"/>
        <w:rPr>
          <w:lang w:val="sq-AL"/>
        </w:rPr>
      </w:pPr>
      <w:r>
        <w:rPr>
          <w:lang w:val="sq-AL"/>
        </w:rPr>
        <w:t xml:space="preserve">Subjekti kërkues i shpronësimit është Bashkia Vlorë. </w:t>
      </w:r>
    </w:p>
    <w:p w:rsidR="0016282E" w:rsidRDefault="0016282E" w:rsidP="0016282E">
      <w:pPr>
        <w:pStyle w:val="Paragrafi"/>
        <w:rPr>
          <w:spacing w:val="-4"/>
          <w:lang w:val="sq-AL"/>
        </w:rPr>
      </w:pPr>
      <w:r>
        <w:rPr>
          <w:spacing w:val="-4"/>
          <w:lang w:val="sq-AL"/>
        </w:rPr>
        <w:t>Me anë të këtij publikimi kërkohet që të vihen në dijeni personat të cilët preken nga rishikimi i projektit “Vlora-ACU, rikualifikim urban në qytetin e Vlorës, përgjatë shëtitores ‘P4_C2_a, b, c’”, për shpronësimin e pasurive të tyre, si dhe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si dhe të vendimit nr. 89, datë 3.2.2016, të Këshillit të Ministrave, “Për miratimin e hartës së vlerës së tokës në Republikën e Shqipërisë”, sipas tabelës bashkëlidhur.</w:t>
      </w:r>
    </w:p>
    <w:p w:rsidR="0016282E" w:rsidRDefault="0016282E" w:rsidP="0016282E">
      <w:pPr>
        <w:pStyle w:val="Paragrafi"/>
        <w:rPr>
          <w:lang w:val="sq-AL"/>
        </w:rPr>
      </w:pPr>
      <w:r>
        <w:rPr>
          <w:lang w:val="sq-AL"/>
        </w:rPr>
        <w:t>Vlera totale e shpronësimit është 12 891 999 (dymbëdhjetë milionë e tetëqind e nëntëdhjetë e një mijë e nëntëqind e nëntëdhjetë e nëntë) lekë.</w:t>
      </w:r>
    </w:p>
    <w:p w:rsidR="0016282E" w:rsidRDefault="0016282E" w:rsidP="0016282E">
      <w:pPr>
        <w:pStyle w:val="Hapesira7"/>
        <w:rPr>
          <w:lang w:val="sq-AL"/>
        </w:rPr>
      </w:pPr>
    </w:p>
    <w:p w:rsidR="0016282E" w:rsidRDefault="0016282E" w:rsidP="0016282E">
      <w:pPr>
        <w:pStyle w:val="Paragrafi"/>
        <w:jc w:val="right"/>
        <w:rPr>
          <w:lang w:val="sq-AL"/>
        </w:rPr>
      </w:pPr>
      <w:r>
        <w:rPr>
          <w:lang w:val="sq-AL"/>
        </w:rPr>
        <w:t>ZËVENDËSMINISTRI I INFRASTRUKTURËS DHE ENERGJISË</w:t>
      </w:r>
    </w:p>
    <w:p w:rsidR="0016282E" w:rsidRDefault="0016282E" w:rsidP="0016282E">
      <w:pPr>
        <w:pStyle w:val="Paragrafi"/>
        <w:jc w:val="right"/>
        <w:rPr>
          <w:b/>
          <w:lang w:val="sq-AL"/>
        </w:rPr>
      </w:pPr>
      <w:r>
        <w:rPr>
          <w:b/>
          <w:lang w:val="sq-AL"/>
        </w:rPr>
        <w:t>Artan Shkreli</w:t>
      </w:r>
    </w:p>
    <w:p w:rsidR="0016282E" w:rsidRDefault="0016282E" w:rsidP="0016282E">
      <w:pPr>
        <w:spacing w:after="0" w:line="240" w:lineRule="auto"/>
        <w:ind w:firstLine="0"/>
        <w:jc w:val="left"/>
        <w:rPr>
          <w:rFonts w:ascii="Garamond" w:eastAsia="MS Mincho" w:hAnsi="Garamond" w:cs="CG Times"/>
          <w:b/>
          <w:sz w:val="24"/>
          <w:lang w:val="sq-AL"/>
        </w:rPr>
        <w:sectPr w:rsidR="0016282E" w:rsidSect="0016282E">
          <w:pgSz w:w="11907" w:h="16840"/>
          <w:pgMar w:top="720" w:right="1134" w:bottom="720" w:left="1134" w:header="851" w:footer="851" w:gutter="0"/>
          <w:cols w:space="454"/>
        </w:sectPr>
      </w:pPr>
    </w:p>
    <w:p w:rsidR="0016282E" w:rsidRDefault="0016282E" w:rsidP="0016282E">
      <w:pPr>
        <w:pStyle w:val="Paragrafi"/>
        <w:jc w:val="right"/>
        <w:rPr>
          <w:b/>
          <w:lang w:val="sq-AL"/>
        </w:rPr>
      </w:pPr>
    </w:p>
    <w:p w:rsidR="0016282E" w:rsidRDefault="0016282E" w:rsidP="0016282E">
      <w:pPr>
        <w:spacing w:after="0" w:line="240" w:lineRule="auto"/>
        <w:ind w:firstLine="0"/>
        <w:jc w:val="left"/>
        <w:rPr>
          <w:rFonts w:ascii="Garamond" w:eastAsia="MS Mincho" w:hAnsi="Garamond" w:cs="CG Times"/>
          <w:b/>
          <w:sz w:val="24"/>
          <w:lang w:val="sq-AL"/>
        </w:rPr>
        <w:sectPr w:rsidR="0016282E" w:rsidSect="0016282E">
          <w:type w:val="continuous"/>
          <w:pgSz w:w="11907" w:h="16840"/>
          <w:pgMar w:top="720" w:right="1134" w:bottom="720" w:left="1134" w:header="851" w:footer="851" w:gutter="0"/>
          <w:cols w:space="720"/>
        </w:sectPr>
      </w:pPr>
    </w:p>
    <w:p w:rsidR="0016282E" w:rsidRDefault="0016282E" w:rsidP="0016282E">
      <w:pPr>
        <w:pStyle w:val="Paragrafi"/>
        <w:ind w:firstLine="0"/>
        <w:rPr>
          <w:sz w:val="14"/>
          <w:lang w:val="sq-AL"/>
        </w:rPr>
        <w:sectPr w:rsidR="0016282E">
          <w:type w:val="continuous"/>
          <w:pgSz w:w="11907" w:h="16840"/>
          <w:pgMar w:top="720" w:right="1134" w:bottom="720" w:left="1134" w:header="851" w:footer="851" w:gutter="0"/>
          <w:cols w:space="720"/>
        </w:sect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pStyle w:val="Paragrafi"/>
        <w:ind w:firstLine="0"/>
        <w:rPr>
          <w:sz w:val="14"/>
          <w:lang w:val="sq-AL"/>
        </w:rPr>
      </w:pPr>
    </w:p>
    <w:p w:rsidR="0016282E" w:rsidRDefault="0016282E" w:rsidP="0016282E">
      <w:pPr>
        <w:spacing w:after="0" w:line="240" w:lineRule="auto"/>
        <w:ind w:firstLine="0"/>
        <w:jc w:val="left"/>
        <w:rPr>
          <w:rFonts w:ascii="Garamond" w:eastAsia="MS Mincho" w:hAnsi="Garamond" w:cs="CG Times"/>
          <w:sz w:val="24"/>
          <w:lang w:val="sq-AL"/>
        </w:rPr>
        <w:sectPr w:rsidR="0016282E">
          <w:type w:val="continuous"/>
          <w:pgSz w:w="11907" w:h="16840"/>
          <w:pgMar w:top="720" w:right="1134" w:bottom="720" w:left="1134" w:header="851" w:footer="851" w:gutter="0"/>
          <w:cols w:space="720"/>
        </w:sectPr>
      </w:pPr>
    </w:p>
    <w:p w:rsidR="0016282E" w:rsidRDefault="0016282E" w:rsidP="0016282E">
      <w:pPr>
        <w:pStyle w:val="Paragrafi"/>
        <w:ind w:firstLine="0"/>
        <w:rPr>
          <w:sz w:val="16"/>
          <w:lang w:val="sq-AL"/>
        </w:rPr>
      </w:pPr>
    </w:p>
    <w:p w:rsidR="0016282E" w:rsidRDefault="0016282E" w:rsidP="0016282E">
      <w:pPr>
        <w:pStyle w:val="Paragrafi"/>
        <w:ind w:firstLine="0"/>
        <w:rPr>
          <w:sz w:val="14"/>
          <w:lang w:val="sq-AL"/>
        </w:rPr>
      </w:pPr>
    </w:p>
    <w:p w:rsidR="0016282E" w:rsidRDefault="0016282E" w:rsidP="0016282E">
      <w:pPr>
        <w:widowControl w:val="0"/>
        <w:spacing w:after="0" w:line="240" w:lineRule="auto"/>
        <w:ind w:firstLine="0"/>
        <w:jc w:val="center"/>
        <w:rPr>
          <w:rFonts w:ascii="Garamond" w:eastAsiaTheme="minorHAnsi" w:hAnsi="Garamond" w:cstheme="minorBidi"/>
          <w:sz w:val="4"/>
          <w:szCs w:val="20"/>
          <w:lang w:val="sq-AL"/>
        </w:rPr>
      </w:pPr>
    </w:p>
    <w:p w:rsidR="0016282E" w:rsidRDefault="0016282E" w:rsidP="0016282E">
      <w:pPr>
        <w:widowControl w:val="0"/>
        <w:spacing w:after="0" w:line="240" w:lineRule="auto"/>
        <w:ind w:firstLine="0"/>
        <w:jc w:val="center"/>
        <w:rPr>
          <w:rFonts w:ascii="Garamond" w:eastAsiaTheme="minorHAnsi" w:hAnsi="Garamond" w:cstheme="minorBidi"/>
          <w:sz w:val="20"/>
          <w:szCs w:val="20"/>
          <w:lang w:val="sq-AL"/>
        </w:rPr>
      </w:pPr>
      <w:r>
        <w:rPr>
          <w:rFonts w:ascii="Garamond" w:eastAsiaTheme="minorHAnsi" w:hAnsi="Garamond" w:cstheme="minorBidi"/>
          <w:sz w:val="20"/>
          <w:szCs w:val="20"/>
          <w:lang w:val="sq-AL"/>
        </w:rPr>
        <w:t xml:space="preserve">LISTA E PRONARËVE TË PASURIVE, PRONË PRIVATE QË PREKEN NGA RISHIKIMI I PROJEKTIT “VLORA-ACU, RIKUALIFIKIM URBAN NË QYTETIN E VLORËS, PËRGJATË SHËTITORES, </w:t>
      </w:r>
    </w:p>
    <w:p w:rsidR="0016282E" w:rsidRDefault="0016282E" w:rsidP="0016282E">
      <w:pPr>
        <w:widowControl w:val="0"/>
        <w:spacing w:after="0" w:line="240" w:lineRule="auto"/>
        <w:ind w:firstLine="0"/>
        <w:jc w:val="center"/>
        <w:rPr>
          <w:rFonts w:ascii="Garamond" w:eastAsiaTheme="minorHAnsi" w:hAnsi="Garamond" w:cstheme="minorBidi"/>
          <w:sz w:val="20"/>
          <w:szCs w:val="20"/>
          <w:lang w:val="sq-AL"/>
        </w:rPr>
      </w:pPr>
      <w:r>
        <w:rPr>
          <w:rFonts w:ascii="Garamond" w:eastAsiaTheme="minorHAnsi" w:hAnsi="Garamond" w:cstheme="minorBidi"/>
          <w:sz w:val="20"/>
          <w:szCs w:val="20"/>
          <w:lang w:val="sq-AL"/>
        </w:rPr>
        <w:t>‘P4, C2, a, b, c’”, VLORË</w:t>
      </w:r>
    </w:p>
    <w:tbl>
      <w:tblPr>
        <w:tblStyle w:val="TableGrid5"/>
        <w:tblW w:w="5000" w:type="pct"/>
        <w:jc w:val="center"/>
        <w:tblInd w:w="0" w:type="dxa"/>
        <w:tblLook w:val="04A0" w:firstRow="1" w:lastRow="0" w:firstColumn="1" w:lastColumn="0" w:noHBand="0" w:noVBand="1"/>
      </w:tblPr>
      <w:tblGrid>
        <w:gridCol w:w="617"/>
        <w:gridCol w:w="1304"/>
        <w:gridCol w:w="1001"/>
        <w:gridCol w:w="1134"/>
        <w:gridCol w:w="658"/>
        <w:gridCol w:w="875"/>
        <w:gridCol w:w="881"/>
        <w:gridCol w:w="976"/>
        <w:gridCol w:w="759"/>
        <w:gridCol w:w="1093"/>
        <w:gridCol w:w="1057"/>
        <w:gridCol w:w="1134"/>
        <w:gridCol w:w="1461"/>
      </w:tblGrid>
      <w:tr w:rsidR="0016282E" w:rsidTr="0016282E">
        <w:trPr>
          <w:jc w:val="center"/>
        </w:trPr>
        <w:tc>
          <w:tcPr>
            <w:tcW w:w="238"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Nr.</w:t>
            </w:r>
          </w:p>
        </w:tc>
        <w:tc>
          <w:tcPr>
            <w:tcW w:w="503"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Emër, mbiemër</w:t>
            </w:r>
          </w:p>
        </w:tc>
        <w:tc>
          <w:tcPr>
            <w:tcW w:w="386"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Zona kadastrale</w:t>
            </w:r>
          </w:p>
        </w:tc>
        <w:tc>
          <w:tcPr>
            <w:tcW w:w="438"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Nr. i pasurisë</w:t>
            </w:r>
          </w:p>
        </w:tc>
        <w:tc>
          <w:tcPr>
            <w:tcW w:w="254"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Rre-thi</w:t>
            </w:r>
          </w:p>
        </w:tc>
        <w:tc>
          <w:tcPr>
            <w:tcW w:w="338"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Sipërfa-qja e nderti-mit (m</w:t>
            </w:r>
            <w:r>
              <w:rPr>
                <w:rFonts w:ascii="Garamond" w:eastAsiaTheme="minorHAnsi" w:hAnsi="Garamond" w:cstheme="minorBidi"/>
                <w:b/>
                <w:sz w:val="14"/>
                <w:szCs w:val="14"/>
                <w:vertAlign w:val="superscript"/>
                <w:lang w:val="sq-AL"/>
              </w:rPr>
              <w:t>2</w:t>
            </w:r>
            <w:r>
              <w:rPr>
                <w:rFonts w:ascii="Garamond" w:eastAsiaTheme="minorHAnsi" w:hAnsi="Garamond" w:cstheme="minorBidi"/>
                <w:b/>
                <w:sz w:val="14"/>
                <w:szCs w:val="14"/>
                <w:lang w:val="sq-AL"/>
              </w:rPr>
              <w:t>)</w:t>
            </w:r>
          </w:p>
        </w:tc>
        <w:tc>
          <w:tcPr>
            <w:tcW w:w="340"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Sipërfa-qja e truallit (m</w:t>
            </w:r>
            <w:r>
              <w:rPr>
                <w:rFonts w:ascii="Garamond" w:eastAsiaTheme="minorHAnsi" w:hAnsi="Garamond" w:cstheme="minorBidi"/>
                <w:b/>
                <w:sz w:val="14"/>
                <w:szCs w:val="14"/>
                <w:vertAlign w:val="superscript"/>
                <w:lang w:val="sq-AL"/>
              </w:rPr>
              <w:t>2</w:t>
            </w:r>
            <w:r>
              <w:rPr>
                <w:rFonts w:ascii="Garamond" w:eastAsiaTheme="minorHAnsi" w:hAnsi="Garamond" w:cstheme="minorBidi"/>
                <w:b/>
                <w:sz w:val="14"/>
                <w:szCs w:val="14"/>
                <w:lang w:val="sq-AL"/>
              </w:rPr>
              <w:t>)</w:t>
            </w:r>
          </w:p>
        </w:tc>
        <w:tc>
          <w:tcPr>
            <w:tcW w:w="377"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Çmimi i ndërtimit</w:t>
            </w:r>
          </w:p>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(l/m</w:t>
            </w:r>
            <w:r>
              <w:rPr>
                <w:rFonts w:ascii="Garamond" w:eastAsiaTheme="minorHAnsi" w:hAnsi="Garamond" w:cstheme="minorBidi"/>
                <w:b/>
                <w:sz w:val="14"/>
                <w:szCs w:val="14"/>
                <w:vertAlign w:val="superscript"/>
                <w:lang w:val="sq-AL"/>
              </w:rPr>
              <w:t>2</w:t>
            </w:r>
            <w:r>
              <w:rPr>
                <w:rFonts w:ascii="Garamond" w:eastAsiaTheme="minorHAnsi" w:hAnsi="Garamond" w:cstheme="minorBidi"/>
                <w:b/>
                <w:sz w:val="14"/>
                <w:szCs w:val="14"/>
                <w:lang w:val="sq-AL"/>
              </w:rPr>
              <w:t>)</w:t>
            </w:r>
          </w:p>
        </w:tc>
        <w:tc>
          <w:tcPr>
            <w:tcW w:w="293"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Çmi-mi i truallit</w:t>
            </w:r>
          </w:p>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(l/m</w:t>
            </w:r>
            <w:r>
              <w:rPr>
                <w:rFonts w:ascii="Garamond" w:eastAsiaTheme="minorHAnsi" w:hAnsi="Garamond" w:cstheme="minorBidi"/>
                <w:b/>
                <w:sz w:val="14"/>
                <w:szCs w:val="14"/>
                <w:vertAlign w:val="superscript"/>
                <w:lang w:val="sq-AL"/>
              </w:rPr>
              <w:t>2</w:t>
            </w:r>
            <w:r>
              <w:rPr>
                <w:rFonts w:ascii="Garamond" w:eastAsiaTheme="minorHAnsi" w:hAnsi="Garamond" w:cstheme="minorBidi"/>
                <w:b/>
                <w:sz w:val="14"/>
                <w:szCs w:val="14"/>
                <w:lang w:val="sq-AL"/>
              </w:rPr>
              <w:t>)</w:t>
            </w:r>
          </w:p>
        </w:tc>
        <w:tc>
          <w:tcPr>
            <w:tcW w:w="422"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Vlera e ndërtimit (lekë)</w:t>
            </w:r>
          </w:p>
        </w:tc>
        <w:tc>
          <w:tcPr>
            <w:tcW w:w="408"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Vlera e truallit (lekë)</w:t>
            </w:r>
          </w:p>
        </w:tc>
        <w:tc>
          <w:tcPr>
            <w:tcW w:w="438"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Vlera totale (truall + ndërtesë) (lekë)</w:t>
            </w:r>
          </w:p>
        </w:tc>
        <w:tc>
          <w:tcPr>
            <w:tcW w:w="564" w:type="pct"/>
            <w:tcBorders>
              <w:top w:val="single" w:sz="4" w:space="0" w:color="auto"/>
              <w:left w:val="single" w:sz="4" w:space="0" w:color="auto"/>
              <w:bottom w:val="single" w:sz="4" w:space="0" w:color="auto"/>
              <w:right w:val="single" w:sz="4" w:space="0" w:color="auto"/>
            </w:tcBorders>
            <w:vAlign w:val="center"/>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Konfirmim ZVRPP</w:t>
            </w:r>
          </w:p>
        </w:tc>
      </w:tr>
      <w:tr w:rsidR="0016282E" w:rsidTr="0016282E">
        <w:trPr>
          <w:jc w:val="center"/>
        </w:trPr>
        <w:tc>
          <w:tcPr>
            <w:tcW w:w="238"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50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1</w:t>
            </w:r>
          </w:p>
        </w:tc>
        <w:tc>
          <w:tcPr>
            <w:tcW w:w="386"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2</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3</w:t>
            </w:r>
          </w:p>
        </w:tc>
        <w:tc>
          <w:tcPr>
            <w:tcW w:w="25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4</w:t>
            </w:r>
          </w:p>
        </w:tc>
        <w:tc>
          <w:tcPr>
            <w:tcW w:w="3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5</w:t>
            </w:r>
          </w:p>
        </w:tc>
        <w:tc>
          <w:tcPr>
            <w:tcW w:w="340"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6</w:t>
            </w:r>
          </w:p>
        </w:tc>
        <w:tc>
          <w:tcPr>
            <w:tcW w:w="377"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7</w:t>
            </w:r>
          </w:p>
        </w:tc>
        <w:tc>
          <w:tcPr>
            <w:tcW w:w="29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8</w:t>
            </w:r>
          </w:p>
        </w:tc>
        <w:tc>
          <w:tcPr>
            <w:tcW w:w="422"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9</w:t>
            </w:r>
          </w:p>
        </w:tc>
        <w:tc>
          <w:tcPr>
            <w:tcW w:w="40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10</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11</w:t>
            </w:r>
          </w:p>
        </w:tc>
        <w:tc>
          <w:tcPr>
            <w:tcW w:w="56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center"/>
              <w:rPr>
                <w:rFonts w:ascii="Garamond" w:eastAsiaTheme="minorHAnsi" w:hAnsi="Garamond" w:cstheme="minorBidi"/>
                <w:b/>
                <w:sz w:val="14"/>
                <w:szCs w:val="14"/>
                <w:lang w:val="sq-AL"/>
              </w:rPr>
            </w:pPr>
            <w:r>
              <w:rPr>
                <w:rFonts w:ascii="Garamond" w:eastAsiaTheme="minorHAnsi" w:hAnsi="Garamond" w:cstheme="minorBidi"/>
                <w:b/>
                <w:sz w:val="14"/>
                <w:szCs w:val="14"/>
                <w:lang w:val="sq-AL"/>
              </w:rPr>
              <w:t>12</w:t>
            </w:r>
          </w:p>
        </w:tc>
      </w:tr>
      <w:tr w:rsidR="0016282E" w:rsidTr="0016282E">
        <w:trPr>
          <w:jc w:val="center"/>
        </w:trPr>
        <w:tc>
          <w:tcPr>
            <w:tcW w:w="2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1</w:t>
            </w:r>
          </w:p>
        </w:tc>
        <w:tc>
          <w:tcPr>
            <w:tcW w:w="50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Edlira Tola</w:t>
            </w:r>
          </w:p>
        </w:tc>
        <w:tc>
          <w:tcPr>
            <w:tcW w:w="386"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ZK 8602</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27/89-1</w:t>
            </w:r>
          </w:p>
        </w:tc>
        <w:tc>
          <w:tcPr>
            <w:tcW w:w="25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Vlorë</w:t>
            </w:r>
          </w:p>
        </w:tc>
        <w:tc>
          <w:tcPr>
            <w:tcW w:w="3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340"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240</w:t>
            </w:r>
          </w:p>
        </w:tc>
        <w:tc>
          <w:tcPr>
            <w:tcW w:w="377"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29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10903</w:t>
            </w:r>
          </w:p>
        </w:tc>
        <w:tc>
          <w:tcPr>
            <w:tcW w:w="422"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40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2,616,720.00</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b/>
                <w:sz w:val="14"/>
                <w:szCs w:val="14"/>
                <w:lang w:val="sq-AL"/>
              </w:rPr>
            </w:pPr>
            <w:r>
              <w:rPr>
                <w:rFonts w:ascii="Garamond" w:eastAsiaTheme="minorHAnsi" w:hAnsi="Garamond" w:cstheme="minorBidi"/>
                <w:b/>
                <w:sz w:val="14"/>
                <w:szCs w:val="14"/>
                <w:lang w:val="sq-AL"/>
              </w:rPr>
              <w:t>2,616,720.00</w:t>
            </w:r>
          </w:p>
        </w:tc>
        <w:tc>
          <w:tcPr>
            <w:tcW w:w="56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Konfirmuar nga ZVRPP-ja Vlorë, pasuri e llojit truall</w:t>
            </w:r>
          </w:p>
        </w:tc>
      </w:tr>
      <w:tr w:rsidR="0016282E" w:rsidTr="0016282E">
        <w:trPr>
          <w:jc w:val="center"/>
        </w:trPr>
        <w:tc>
          <w:tcPr>
            <w:tcW w:w="2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2</w:t>
            </w:r>
          </w:p>
        </w:tc>
        <w:tc>
          <w:tcPr>
            <w:tcW w:w="50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Bashkëpronarët Xhaferi</w:t>
            </w:r>
          </w:p>
        </w:tc>
        <w:tc>
          <w:tcPr>
            <w:tcW w:w="386"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ZK 8602</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27/364-ND</w:t>
            </w:r>
          </w:p>
        </w:tc>
        <w:tc>
          <w:tcPr>
            <w:tcW w:w="25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Vlorë</w:t>
            </w:r>
          </w:p>
        </w:tc>
        <w:tc>
          <w:tcPr>
            <w:tcW w:w="3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42</w:t>
            </w:r>
          </w:p>
        </w:tc>
        <w:tc>
          <w:tcPr>
            <w:tcW w:w="340"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377"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51011.54</w:t>
            </w:r>
          </w:p>
        </w:tc>
        <w:tc>
          <w:tcPr>
            <w:tcW w:w="29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422"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2.142,485.00</w:t>
            </w:r>
          </w:p>
        </w:tc>
        <w:tc>
          <w:tcPr>
            <w:tcW w:w="40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b/>
                <w:sz w:val="14"/>
                <w:szCs w:val="14"/>
                <w:lang w:val="sq-AL"/>
              </w:rPr>
            </w:pPr>
            <w:r>
              <w:rPr>
                <w:rFonts w:ascii="Garamond" w:eastAsiaTheme="minorHAnsi" w:hAnsi="Garamond" w:cstheme="minorBidi"/>
                <w:b/>
                <w:sz w:val="14"/>
                <w:szCs w:val="14"/>
                <w:lang w:val="sq-AL"/>
              </w:rPr>
              <w:t>2.142,485.00</w:t>
            </w:r>
          </w:p>
        </w:tc>
        <w:tc>
          <w:tcPr>
            <w:tcW w:w="56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Konfirmuar nga ZVRPP-ja Vlorë, pasuri e llojit ndërtesë (banesë), pasuria 27/364 -ND ngrihet mbi truall 27/356</w:t>
            </w:r>
          </w:p>
        </w:tc>
      </w:tr>
      <w:tr w:rsidR="0016282E" w:rsidTr="0016282E">
        <w:trPr>
          <w:jc w:val="center"/>
        </w:trPr>
        <w:tc>
          <w:tcPr>
            <w:tcW w:w="2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3</w:t>
            </w:r>
          </w:p>
        </w:tc>
        <w:tc>
          <w:tcPr>
            <w:tcW w:w="50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Merita Kapllanaj</w:t>
            </w:r>
          </w:p>
        </w:tc>
        <w:tc>
          <w:tcPr>
            <w:tcW w:w="386"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ZK 8602</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27-580</w:t>
            </w:r>
          </w:p>
        </w:tc>
        <w:tc>
          <w:tcPr>
            <w:tcW w:w="25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Vlorë</w:t>
            </w:r>
          </w:p>
        </w:tc>
        <w:tc>
          <w:tcPr>
            <w:tcW w:w="3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126.3</w:t>
            </w:r>
          </w:p>
        </w:tc>
        <w:tc>
          <w:tcPr>
            <w:tcW w:w="340"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126.3</w:t>
            </w:r>
          </w:p>
        </w:tc>
        <w:tc>
          <w:tcPr>
            <w:tcW w:w="377"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51011.54</w:t>
            </w:r>
          </w:p>
        </w:tc>
        <w:tc>
          <w:tcPr>
            <w:tcW w:w="29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10903</w:t>
            </w:r>
          </w:p>
        </w:tc>
        <w:tc>
          <w:tcPr>
            <w:tcW w:w="422"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6,442,758.00</w:t>
            </w:r>
          </w:p>
        </w:tc>
        <w:tc>
          <w:tcPr>
            <w:tcW w:w="40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1,377,048.90</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b/>
                <w:sz w:val="14"/>
                <w:szCs w:val="14"/>
                <w:lang w:val="sq-AL"/>
              </w:rPr>
            </w:pPr>
            <w:r>
              <w:rPr>
                <w:rFonts w:ascii="Garamond" w:eastAsiaTheme="minorHAnsi" w:hAnsi="Garamond" w:cstheme="minorBidi"/>
                <w:b/>
                <w:sz w:val="14"/>
                <w:szCs w:val="14"/>
                <w:lang w:val="sq-AL"/>
              </w:rPr>
              <w:t>7,819,806.00</w:t>
            </w:r>
          </w:p>
        </w:tc>
        <w:tc>
          <w:tcPr>
            <w:tcW w:w="56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Konfirmuar nga ZVRPP-ja Vlorë, pasuri e llojit truall + ndërtesë (banesë)</w:t>
            </w:r>
          </w:p>
        </w:tc>
      </w:tr>
      <w:tr w:rsidR="0016282E" w:rsidTr="0016282E">
        <w:trPr>
          <w:jc w:val="center"/>
        </w:trPr>
        <w:tc>
          <w:tcPr>
            <w:tcW w:w="2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4</w:t>
            </w:r>
          </w:p>
        </w:tc>
        <w:tc>
          <w:tcPr>
            <w:tcW w:w="50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Lindita Lëngu</w:t>
            </w:r>
          </w:p>
        </w:tc>
        <w:tc>
          <w:tcPr>
            <w:tcW w:w="386"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ZK 8602</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27/47-NDI</w:t>
            </w:r>
          </w:p>
        </w:tc>
        <w:tc>
          <w:tcPr>
            <w:tcW w:w="25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Vlorë</w:t>
            </w:r>
          </w:p>
        </w:tc>
        <w:tc>
          <w:tcPr>
            <w:tcW w:w="3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25</w:t>
            </w:r>
          </w:p>
        </w:tc>
        <w:tc>
          <w:tcPr>
            <w:tcW w:w="340"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377"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12519.52</w:t>
            </w:r>
          </w:p>
        </w:tc>
        <w:tc>
          <w:tcPr>
            <w:tcW w:w="293"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422"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312,988.00</w:t>
            </w:r>
          </w:p>
        </w:tc>
        <w:tc>
          <w:tcPr>
            <w:tcW w:w="40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sz w:val="14"/>
                <w:szCs w:val="14"/>
                <w:lang w:val="sq-AL"/>
              </w:rPr>
            </w:pPr>
            <w:r>
              <w:rPr>
                <w:rFonts w:ascii="Garamond" w:eastAsiaTheme="minorHAnsi" w:hAnsi="Garamond" w:cstheme="minorBidi"/>
                <w:sz w:val="14"/>
                <w:szCs w:val="14"/>
                <w:lang w:val="sq-AL"/>
              </w:rPr>
              <w:t>-</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right"/>
              <w:rPr>
                <w:rFonts w:ascii="Garamond" w:eastAsiaTheme="minorHAnsi" w:hAnsi="Garamond" w:cstheme="minorBidi"/>
                <w:b/>
                <w:sz w:val="14"/>
                <w:szCs w:val="14"/>
                <w:lang w:val="sq-AL"/>
              </w:rPr>
            </w:pPr>
            <w:r>
              <w:rPr>
                <w:rFonts w:ascii="Garamond" w:eastAsiaTheme="minorHAnsi" w:hAnsi="Garamond" w:cstheme="minorBidi"/>
                <w:b/>
                <w:sz w:val="14"/>
                <w:szCs w:val="14"/>
                <w:lang w:val="sq-AL"/>
              </w:rPr>
              <w:t>312,988.00</w:t>
            </w:r>
          </w:p>
        </w:tc>
        <w:tc>
          <w:tcPr>
            <w:tcW w:w="564"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sz w:val="14"/>
                <w:szCs w:val="14"/>
                <w:lang w:val="sq-AL"/>
              </w:rPr>
            </w:pPr>
            <w:r>
              <w:rPr>
                <w:rFonts w:ascii="Garamond" w:eastAsiaTheme="minorHAnsi" w:hAnsi="Garamond" w:cstheme="minorBidi"/>
                <w:sz w:val="14"/>
                <w:szCs w:val="14"/>
                <w:lang w:val="sq-AL"/>
              </w:rPr>
              <w:t>Konfirmuar nga ZVRPP-ja Vlorë, pasuri e llojit ndërtesë. Ndërtesa (barakë metalike) është vlerësuar me situacion punimesh. Ngrihet mbi pasurinë 24/47-T, vol. 14, f. 149 në pronësi të bashkëpunëtorë-ve Muço</w:t>
            </w:r>
          </w:p>
        </w:tc>
      </w:tr>
      <w:tr w:rsidR="0016282E" w:rsidTr="0016282E">
        <w:trPr>
          <w:jc w:val="center"/>
        </w:trPr>
        <w:tc>
          <w:tcPr>
            <w:tcW w:w="238"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503"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386"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438"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254"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338"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340"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377"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293"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422"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c>
          <w:tcPr>
            <w:tcW w:w="40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b/>
                <w:sz w:val="14"/>
                <w:szCs w:val="14"/>
                <w:lang w:val="sq-AL"/>
              </w:rPr>
            </w:pPr>
            <w:r>
              <w:rPr>
                <w:rFonts w:ascii="Garamond" w:eastAsiaTheme="minorHAnsi" w:hAnsi="Garamond" w:cstheme="minorBidi"/>
                <w:b/>
                <w:sz w:val="14"/>
                <w:szCs w:val="14"/>
                <w:lang w:val="sq-AL"/>
              </w:rPr>
              <w:t>SHUMA</w:t>
            </w:r>
          </w:p>
        </w:tc>
        <w:tc>
          <w:tcPr>
            <w:tcW w:w="438" w:type="pct"/>
            <w:tcBorders>
              <w:top w:val="single" w:sz="4" w:space="0" w:color="auto"/>
              <w:left w:val="single" w:sz="4" w:space="0" w:color="auto"/>
              <w:bottom w:val="single" w:sz="4" w:space="0" w:color="auto"/>
              <w:right w:val="single" w:sz="4" w:space="0" w:color="auto"/>
            </w:tcBorders>
            <w:hideMark/>
          </w:tcPr>
          <w:p w:rsidR="0016282E" w:rsidRDefault="0016282E">
            <w:pPr>
              <w:widowControl w:val="0"/>
              <w:spacing w:after="0" w:line="240" w:lineRule="auto"/>
              <w:ind w:firstLine="0"/>
              <w:jc w:val="left"/>
              <w:rPr>
                <w:rFonts w:ascii="Garamond" w:eastAsiaTheme="minorHAnsi" w:hAnsi="Garamond" w:cstheme="minorBidi"/>
                <w:b/>
                <w:sz w:val="14"/>
                <w:szCs w:val="14"/>
                <w:lang w:val="sq-AL"/>
              </w:rPr>
            </w:pPr>
            <w:r>
              <w:rPr>
                <w:rFonts w:ascii="Garamond" w:eastAsiaTheme="minorHAnsi" w:hAnsi="Garamond" w:cstheme="minorBidi"/>
                <w:b/>
                <w:sz w:val="14"/>
                <w:szCs w:val="14"/>
                <w:lang w:val="sq-AL"/>
              </w:rPr>
              <w:t>12,891,999</w:t>
            </w:r>
          </w:p>
        </w:tc>
        <w:tc>
          <w:tcPr>
            <w:tcW w:w="564" w:type="pct"/>
            <w:tcBorders>
              <w:top w:val="single" w:sz="4" w:space="0" w:color="auto"/>
              <w:left w:val="single" w:sz="4" w:space="0" w:color="auto"/>
              <w:bottom w:val="single" w:sz="4" w:space="0" w:color="auto"/>
              <w:right w:val="single" w:sz="4" w:space="0" w:color="auto"/>
            </w:tcBorders>
          </w:tcPr>
          <w:p w:rsidR="0016282E" w:rsidRDefault="0016282E">
            <w:pPr>
              <w:widowControl w:val="0"/>
              <w:spacing w:after="0" w:line="240" w:lineRule="auto"/>
              <w:ind w:firstLine="0"/>
              <w:jc w:val="left"/>
              <w:rPr>
                <w:rFonts w:ascii="Garamond" w:eastAsiaTheme="minorHAnsi" w:hAnsi="Garamond" w:cstheme="minorBidi"/>
                <w:sz w:val="14"/>
                <w:szCs w:val="14"/>
                <w:lang w:val="sq-AL"/>
              </w:rPr>
            </w:pPr>
          </w:p>
        </w:tc>
      </w:tr>
    </w:tbl>
    <w:p w:rsidR="0016282E" w:rsidRDefault="0016282E" w:rsidP="0016282E">
      <w:pPr>
        <w:widowControl w:val="0"/>
        <w:spacing w:after="0" w:line="240" w:lineRule="auto"/>
        <w:ind w:firstLine="0"/>
        <w:jc w:val="center"/>
        <w:rPr>
          <w:rFonts w:ascii="Garamond" w:eastAsia="MS Mincho" w:hAnsi="Garamond" w:cs="CG Times"/>
          <w:sz w:val="14"/>
          <w:szCs w:val="14"/>
          <w:lang w:val="sq-AL"/>
        </w:rPr>
      </w:pPr>
    </w:p>
    <w:p w:rsidR="0089743C" w:rsidRDefault="0089743C">
      <w:bookmarkStart w:id="0" w:name="_GoBack"/>
      <w:bookmarkEnd w:id="0"/>
    </w:p>
    <w:sectPr w:rsidR="0089743C" w:rsidSect="0016282E">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7B28"/>
    <w:rsid w:val="0016282E"/>
    <w:rsid w:val="00487B28"/>
    <w:rsid w:val="008974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31C581-8F42-4A1E-8DE3-BE752B1F8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82E"/>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16282E"/>
    <w:rPr>
      <w:rFonts w:ascii="Garamond" w:eastAsia="MS Mincho" w:hAnsi="Garamond" w:cs="CG Times"/>
      <w:sz w:val="24"/>
    </w:rPr>
  </w:style>
  <w:style w:type="paragraph" w:customStyle="1" w:styleId="Paragrafi">
    <w:name w:val="Paragrafi"/>
    <w:link w:val="ParagrafiChar"/>
    <w:qFormat/>
    <w:rsid w:val="0016282E"/>
    <w:pPr>
      <w:widowControl w:val="0"/>
      <w:spacing w:after="0" w:line="240" w:lineRule="auto"/>
      <w:ind w:firstLine="284"/>
      <w:jc w:val="both"/>
    </w:pPr>
    <w:rPr>
      <w:rFonts w:ascii="Garamond" w:eastAsia="MS Mincho" w:hAnsi="Garamond" w:cs="CG Times"/>
      <w:sz w:val="24"/>
    </w:rPr>
  </w:style>
  <w:style w:type="character" w:customStyle="1" w:styleId="NeniTitullChar">
    <w:name w:val="Neni_Titull Char"/>
    <w:link w:val="NeniTitull"/>
    <w:locked/>
    <w:rsid w:val="0016282E"/>
    <w:rPr>
      <w:rFonts w:ascii="Garamond" w:eastAsia="MS Mincho" w:hAnsi="Garamond" w:cs="CG Times"/>
      <w:b/>
      <w:bCs/>
      <w:sz w:val="24"/>
      <w:lang w:val="en-GB"/>
    </w:rPr>
  </w:style>
  <w:style w:type="paragraph" w:customStyle="1" w:styleId="NeniTitull">
    <w:name w:val="Neni_Titull"/>
    <w:next w:val="Normal"/>
    <w:link w:val="NeniTitullChar"/>
    <w:rsid w:val="0016282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16282E"/>
    <w:rPr>
      <w:sz w:val="14"/>
      <w:szCs w:val="24"/>
    </w:rPr>
  </w:style>
  <w:style w:type="table" w:customStyle="1" w:styleId="TableGrid5">
    <w:name w:val="Table Grid5"/>
    <w:basedOn w:val="TableNormal"/>
    <w:uiPriority w:val="59"/>
    <w:rsid w:val="0016282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27251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396</Words>
  <Characters>2263</Characters>
  <Application>Microsoft Office Word</Application>
  <DocSecurity>0</DocSecurity>
  <Lines>18</Lines>
  <Paragraphs>5</Paragraphs>
  <ScaleCrop>false</ScaleCrop>
  <Company/>
  <LinksUpToDate>false</LinksUpToDate>
  <CharactersWithSpaces>2654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2018-09-26T07:28:00Z</dcterms:created>
  <dcterms:modified xsi:type="dcterms:W3CDTF">2018-09-26T07:28:00Z</dcterms:modified>
</cp:coreProperties>
</file>