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D0E" w:rsidRPr="00B81264" w:rsidRDefault="008F3D0E" w:rsidP="008F3D0E">
      <w:pPr>
        <w:pStyle w:val="NeniTitull"/>
        <w:rPr>
          <w:lang w:val="sq-AL"/>
        </w:rPr>
      </w:pPr>
      <w:r w:rsidRPr="00B81264">
        <w:rPr>
          <w:lang w:val="sq-AL"/>
        </w:rPr>
        <w:t xml:space="preserve">KËRKESË </w:t>
      </w:r>
    </w:p>
    <w:p w:rsidR="008F3D0E" w:rsidRPr="008D439F" w:rsidRDefault="008F3D0E" w:rsidP="008F3D0E">
      <w:pPr>
        <w:pStyle w:val="NeniTitull"/>
        <w:rPr>
          <w:lang w:val="sq-AL"/>
        </w:rPr>
      </w:pPr>
      <w:r>
        <w:rPr>
          <w:lang w:val="sq-AL"/>
        </w:rPr>
        <w:t xml:space="preserve">Nr. </w:t>
      </w:r>
      <w:bookmarkStart w:id="0" w:name="_GoBack"/>
      <w:r w:rsidRPr="00B81264">
        <w:rPr>
          <w:lang w:val="sq-AL"/>
        </w:rPr>
        <w:t>12542, datë 9.10.2018</w:t>
      </w:r>
      <w:bookmarkEnd w:id="0"/>
    </w:p>
    <w:p w:rsidR="008F3D0E" w:rsidRDefault="008F3D0E" w:rsidP="008F3D0E">
      <w:pPr>
        <w:pStyle w:val="NeniTitull"/>
        <w:rPr>
          <w:lang w:val="sq-AL"/>
        </w:rPr>
      </w:pPr>
      <w:r w:rsidRPr="00B81264">
        <w:rPr>
          <w:lang w:val="sq-AL"/>
        </w:rPr>
        <w:t>PËR SHPRONËSIM PUBLIK</w:t>
      </w:r>
    </w:p>
    <w:p w:rsidR="008F3D0E" w:rsidRPr="00BC6AC0" w:rsidRDefault="008F3D0E" w:rsidP="008F3D0E">
      <w:pPr>
        <w:pStyle w:val="Paragrafi"/>
        <w:rPr>
          <w:sz w:val="14"/>
          <w:szCs w:val="14"/>
          <w:lang w:val="sq-AL"/>
        </w:rPr>
      </w:pPr>
    </w:p>
    <w:p w:rsidR="008F3D0E" w:rsidRPr="00B81264" w:rsidRDefault="008F3D0E" w:rsidP="008F3D0E">
      <w:pPr>
        <w:pStyle w:val="Paragrafi"/>
        <w:rPr>
          <w:lang w:val="sq-AL"/>
        </w:rPr>
      </w:pPr>
      <w:r w:rsidRPr="00B81264">
        <w:rPr>
          <w:lang w:val="sq-AL"/>
        </w:rPr>
        <w:t xml:space="preserve">Ministria e Infrastrukturës dhe Energjisë shpall kërkesën për shpronësim, për interes publik, për pasurinë e paluajtshme pronë private, me </w:t>
      </w:r>
      <w:r>
        <w:rPr>
          <w:lang w:val="sq-AL"/>
        </w:rPr>
        <w:t xml:space="preserve">nr. </w:t>
      </w:r>
      <w:r w:rsidRPr="00B81264">
        <w:rPr>
          <w:lang w:val="sq-AL"/>
        </w:rPr>
        <w:t>3/1257, ZK 8621, e cila preket nga realizimi i projektit “Zgjerimi i rrugës hyrëse të qytetit, parkimi dhe rikualifikimi i qendrës së qytetit Krujë”.</w:t>
      </w:r>
    </w:p>
    <w:p w:rsidR="008F3D0E" w:rsidRPr="00B81264" w:rsidRDefault="008F3D0E" w:rsidP="008F3D0E">
      <w:pPr>
        <w:pStyle w:val="Paragrafi"/>
        <w:rPr>
          <w:lang w:val="sq-AL"/>
        </w:rPr>
      </w:pPr>
      <w:r w:rsidRPr="00B81264">
        <w:rPr>
          <w:lang w:val="sq-AL"/>
        </w:rPr>
        <w:t>Subjekti kërkues i këtij shpronësimi është Bashkia Krujë.</w:t>
      </w:r>
    </w:p>
    <w:p w:rsidR="008F3D0E" w:rsidRPr="00B81264" w:rsidRDefault="008F3D0E" w:rsidP="008F3D0E">
      <w:pPr>
        <w:pStyle w:val="Paragrafi"/>
        <w:rPr>
          <w:lang w:val="sq-AL"/>
        </w:rPr>
      </w:pPr>
      <w:r>
        <w:rPr>
          <w:lang w:val="sq-AL"/>
        </w:rPr>
        <w:t>Me anë të këtij publikimi</w:t>
      </w:r>
      <w:r w:rsidRPr="00B81264">
        <w:rPr>
          <w:lang w:val="sq-AL"/>
        </w:rPr>
        <w:t xml:space="preserve"> kërkohet që të vihen në dijeni personat të cilët preken nga realizimi i projektit “Zgjerimi i rrugës hyrëse të qytetit, parkimi dhe rikualifikimi i qendrës së qytetit Krujë”</w:t>
      </w:r>
      <w:r>
        <w:rPr>
          <w:lang w:val="sq-AL"/>
        </w:rPr>
        <w:t>,</w:t>
      </w:r>
      <w:r w:rsidRPr="00B81264">
        <w:rPr>
          <w:lang w:val="sq-AL"/>
        </w:rPr>
        <w:t xml:space="preserve"> për shpronësimin e pasurive të tyre, </w:t>
      </w:r>
      <w:bookmarkStart w:id="1" w:name="OLE_LINK1"/>
      <w:bookmarkStart w:id="2" w:name="OLE_LINK2"/>
      <w:r w:rsidRPr="00B81264">
        <w:rPr>
          <w:lang w:val="sq-AL"/>
        </w:rPr>
        <w:t xml:space="preserve">si dhe për masën e vlerësimit, të llogaritur në bazë </w:t>
      </w:r>
      <w:bookmarkEnd w:id="1"/>
      <w:bookmarkEnd w:id="2"/>
      <w:r w:rsidRPr="00B81264">
        <w:rPr>
          <w:lang w:val="sq-AL"/>
        </w:rPr>
        <w:t xml:space="preserve">të vendimit </w:t>
      </w:r>
      <w:r>
        <w:rPr>
          <w:lang w:val="sq-AL"/>
        </w:rPr>
        <w:t>nr. 138, datë 23.</w:t>
      </w:r>
      <w:r w:rsidRPr="00B81264">
        <w:rPr>
          <w:lang w:val="sq-AL"/>
        </w:rPr>
        <w:t>3.2000, të Këshillit të Ministrave</w:t>
      </w:r>
      <w:r>
        <w:rPr>
          <w:lang w:val="sq-AL"/>
        </w:rPr>
        <w:t>,</w:t>
      </w:r>
      <w:r w:rsidRPr="00B81264">
        <w:rPr>
          <w:lang w:val="sq-AL"/>
        </w:rPr>
        <w:t xml:space="preserve"> “Për kriteret teknike të vlerësimit dhe të përllogaritjes së masës së shpërblimit të pasurive që shpronësohen, të pasurive që zhvlerësohen dhe të të drejtave të personave të tretë, për interes publik”, të ndryshuar, si dhe </w:t>
      </w:r>
      <w:r>
        <w:rPr>
          <w:lang w:val="sq-AL"/>
        </w:rPr>
        <w:t xml:space="preserve">të </w:t>
      </w:r>
      <w:r w:rsidRPr="00B81264">
        <w:rPr>
          <w:lang w:val="sq-AL"/>
        </w:rPr>
        <w:t xml:space="preserve">vendimit </w:t>
      </w:r>
      <w:r>
        <w:rPr>
          <w:lang w:val="sq-AL"/>
        </w:rPr>
        <w:t>nr. 89, datë 3.</w:t>
      </w:r>
      <w:r w:rsidRPr="00B81264">
        <w:rPr>
          <w:lang w:val="sq-AL"/>
        </w:rPr>
        <w:t>2.2016, të Këshillit të Ministrave</w:t>
      </w:r>
      <w:r>
        <w:rPr>
          <w:lang w:val="sq-AL"/>
        </w:rPr>
        <w:t>,</w:t>
      </w:r>
      <w:r w:rsidRPr="00B81264">
        <w:rPr>
          <w:lang w:val="sq-AL"/>
        </w:rPr>
        <w:t xml:space="preserve"> “Për miratimin e hartës së vlerës së tokës në Republikën e Shqipërisë”, sipas tabelës bashkëlidhur.</w:t>
      </w:r>
    </w:p>
    <w:p w:rsidR="008F3D0E" w:rsidRDefault="008F3D0E" w:rsidP="008F3D0E">
      <w:pPr>
        <w:pStyle w:val="Paragrafi"/>
        <w:rPr>
          <w:lang w:val="sq-AL"/>
        </w:rPr>
      </w:pPr>
      <w:r w:rsidRPr="00B81264">
        <w:rPr>
          <w:lang w:val="sq-AL"/>
        </w:rPr>
        <w:t xml:space="preserve">Vlera e shpronësimit, për pasurinë </w:t>
      </w:r>
      <w:r>
        <w:rPr>
          <w:lang w:val="sq-AL"/>
        </w:rPr>
        <w:t xml:space="preserve">nr. </w:t>
      </w:r>
      <w:r w:rsidRPr="00B81264">
        <w:rPr>
          <w:lang w:val="sq-AL"/>
        </w:rPr>
        <w:t>3/1257, ZK 8621, për të cilën kërkohet publikimi është 9,285,465.00 (nëntë milionë e dyqind e tetëdhjetë e pesë mijë e katërqind e gjashtëdhjetë e pesë) lekë.</w:t>
      </w:r>
    </w:p>
    <w:p w:rsidR="008F3D0E" w:rsidRPr="00B81264" w:rsidRDefault="008F3D0E" w:rsidP="008F3D0E">
      <w:pPr>
        <w:pStyle w:val="Paragrafi"/>
        <w:rPr>
          <w:sz w:val="14"/>
          <w:szCs w:val="14"/>
          <w:lang w:val="sq-AL"/>
        </w:rPr>
      </w:pPr>
    </w:p>
    <w:p w:rsidR="008F3D0E" w:rsidRPr="00B81264" w:rsidRDefault="008F3D0E" w:rsidP="008F3D0E">
      <w:pPr>
        <w:pStyle w:val="Paragrafi"/>
        <w:jc w:val="right"/>
        <w:rPr>
          <w:lang w:val="sq-AL"/>
        </w:rPr>
      </w:pPr>
      <w:r w:rsidRPr="00B81264">
        <w:rPr>
          <w:lang w:val="sq-AL"/>
        </w:rPr>
        <w:t xml:space="preserve"> ZËVENDËSMINIST</w:t>
      </w:r>
      <w:r>
        <w:rPr>
          <w:lang w:val="sq-AL"/>
        </w:rPr>
        <w:t>RI I INFRASTRUKTURËS DHE ENERGJISË</w:t>
      </w:r>
      <w:r w:rsidRPr="00B81264">
        <w:rPr>
          <w:lang w:val="sq-AL"/>
        </w:rPr>
        <w:t xml:space="preserve"> </w:t>
      </w:r>
    </w:p>
    <w:p w:rsidR="008F3D0E" w:rsidRPr="00B81264" w:rsidRDefault="008F3D0E" w:rsidP="008F3D0E">
      <w:pPr>
        <w:pStyle w:val="Paragrafi"/>
        <w:jc w:val="right"/>
        <w:rPr>
          <w:b/>
          <w:lang w:val="sq-AL"/>
        </w:rPr>
      </w:pPr>
      <w:r w:rsidRPr="00B81264">
        <w:rPr>
          <w:lang w:val="sq-AL"/>
        </w:rPr>
        <w:t xml:space="preserve"> </w:t>
      </w:r>
      <w:r w:rsidRPr="00B81264">
        <w:rPr>
          <w:b/>
          <w:lang w:val="sq-AL"/>
        </w:rPr>
        <w:t>Artan Shkreli</w:t>
      </w:r>
    </w:p>
    <w:p w:rsidR="008F3D0E" w:rsidRDefault="008F3D0E" w:rsidP="008F3D0E">
      <w:pPr>
        <w:pStyle w:val="Paragrafi"/>
        <w:rPr>
          <w:b/>
          <w:sz w:val="14"/>
          <w:szCs w:val="14"/>
          <w:lang w:val="sq-AL"/>
        </w:rPr>
        <w:sectPr w:rsidR="008F3D0E" w:rsidSect="008F3D0E">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cols w:space="454"/>
          <w:docGrid w:linePitch="360"/>
        </w:sectPr>
      </w:pPr>
    </w:p>
    <w:p w:rsidR="008F3D0E" w:rsidRPr="00E351D7" w:rsidRDefault="008F3D0E" w:rsidP="008F3D0E">
      <w:pPr>
        <w:pStyle w:val="Paragrafi"/>
        <w:rPr>
          <w:b/>
          <w:sz w:val="22"/>
          <w:szCs w:val="14"/>
          <w:lang w:val="sq-AL"/>
        </w:rPr>
      </w:pPr>
    </w:p>
    <w:tbl>
      <w:tblPr>
        <w:tblW w:w="5000" w:type="pct"/>
        <w:jc w:val="center"/>
        <w:tblLook w:val="04A0" w:firstRow="1" w:lastRow="0" w:firstColumn="1" w:lastColumn="0" w:noHBand="0" w:noVBand="1"/>
      </w:tblPr>
      <w:tblGrid>
        <w:gridCol w:w="419"/>
        <w:gridCol w:w="1091"/>
        <w:gridCol w:w="822"/>
        <w:gridCol w:w="708"/>
        <w:gridCol w:w="656"/>
        <w:gridCol w:w="671"/>
        <w:gridCol w:w="776"/>
        <w:gridCol w:w="656"/>
        <w:gridCol w:w="931"/>
        <w:gridCol w:w="769"/>
        <w:gridCol w:w="935"/>
        <w:gridCol w:w="926"/>
      </w:tblGrid>
      <w:tr w:rsidR="008F3D0E" w:rsidRPr="00B81264" w:rsidTr="00AD4F44">
        <w:trPr>
          <w:trHeight w:val="139"/>
          <w:jc w:val="center"/>
        </w:trPr>
        <w:tc>
          <w:tcPr>
            <w:tcW w:w="5000" w:type="pct"/>
            <w:gridSpan w:val="12"/>
            <w:tcBorders>
              <w:top w:val="nil"/>
              <w:left w:val="nil"/>
              <w:bottom w:val="nil"/>
              <w:right w:val="nil"/>
            </w:tcBorders>
            <w:shd w:val="clear" w:color="auto" w:fill="auto"/>
            <w:vAlign w:val="center"/>
            <w:hideMark/>
          </w:tcPr>
          <w:p w:rsidR="008F3D0E" w:rsidRPr="001B1FD2" w:rsidRDefault="008F3D0E" w:rsidP="00AD4F44">
            <w:pPr>
              <w:spacing w:after="0" w:line="240" w:lineRule="auto"/>
              <w:ind w:firstLine="0"/>
              <w:jc w:val="center"/>
              <w:rPr>
                <w:rFonts w:ascii="Garamond" w:eastAsia="Times New Roman" w:hAnsi="Garamond" w:cs="Calibri"/>
                <w:bCs/>
                <w:color w:val="000000"/>
                <w:sz w:val="20"/>
                <w:szCs w:val="20"/>
                <w:lang w:val="sq-AL"/>
              </w:rPr>
            </w:pPr>
            <w:r w:rsidRPr="001B1FD2">
              <w:rPr>
                <w:rFonts w:ascii="Garamond" w:eastAsia="Times New Roman" w:hAnsi="Garamond" w:cs="Calibri"/>
                <w:bCs/>
                <w:color w:val="000000"/>
                <w:sz w:val="20"/>
                <w:szCs w:val="20"/>
                <w:lang w:val="sq-AL"/>
              </w:rPr>
              <w:t>LISTA E PRONARËVE TË PASURIVE TË PALUAJTSHME, PRONË PRIVATE, QË PREKEN NGA PROJEKTI “ZGJERIMI I RRUGËS HYRËSE TË QYTETIT, PARKIMI DHE RIKUALIFIKIMI I QENDRËS SË QYTETIT KRUJË” (SHTESË)</w:t>
            </w:r>
          </w:p>
        </w:tc>
      </w:tr>
      <w:tr w:rsidR="008F3D0E" w:rsidRPr="00B81264" w:rsidTr="00AD4F44">
        <w:trPr>
          <w:trHeight w:val="45"/>
          <w:jc w:val="center"/>
        </w:trPr>
        <w:tc>
          <w:tcPr>
            <w:tcW w:w="234"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Garamond" w:eastAsia="Times New Roman" w:hAnsi="Garamond" w:cs="Calibri"/>
                <w:b/>
                <w:bCs/>
                <w:color w:val="000000"/>
                <w:sz w:val="14"/>
                <w:szCs w:val="14"/>
                <w:lang w:val="sq-AL"/>
              </w:rPr>
            </w:pPr>
          </w:p>
        </w:tc>
        <w:tc>
          <w:tcPr>
            <w:tcW w:w="608"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334"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368"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368"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368"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440"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368"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515"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368"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517"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c>
          <w:tcPr>
            <w:tcW w:w="512" w:type="pct"/>
            <w:tcBorders>
              <w:top w:val="nil"/>
              <w:left w:val="nil"/>
              <w:bottom w:val="nil"/>
              <w:right w:val="nil"/>
            </w:tcBorders>
            <w:shd w:val="clear" w:color="auto" w:fill="auto"/>
            <w:vAlign w:val="center"/>
            <w:hideMark/>
          </w:tcPr>
          <w:p w:rsidR="008F3D0E" w:rsidRPr="00B81264" w:rsidRDefault="008F3D0E" w:rsidP="00AD4F44">
            <w:pPr>
              <w:spacing w:after="0" w:line="240" w:lineRule="auto"/>
              <w:ind w:firstLine="0"/>
              <w:jc w:val="center"/>
              <w:rPr>
                <w:rFonts w:ascii="Times New Roman" w:eastAsia="Times New Roman" w:hAnsi="Times New Roman"/>
                <w:sz w:val="20"/>
                <w:szCs w:val="20"/>
                <w:lang w:val="sq-AL"/>
              </w:rPr>
            </w:pPr>
          </w:p>
        </w:tc>
      </w:tr>
      <w:tr w:rsidR="008F3D0E" w:rsidRPr="00B81264" w:rsidTr="00AD4F44">
        <w:trPr>
          <w:trHeight w:val="139"/>
          <w:jc w:val="center"/>
        </w:trPr>
        <w:tc>
          <w:tcPr>
            <w:tcW w:w="234" w:type="pct"/>
            <w:tcBorders>
              <w:top w:val="single" w:sz="4" w:space="0" w:color="auto"/>
              <w:left w:val="single" w:sz="4" w:space="0" w:color="auto"/>
              <w:bottom w:val="single" w:sz="4" w:space="0" w:color="auto"/>
              <w:right w:val="single" w:sz="4" w:space="0" w:color="auto"/>
            </w:tcBorders>
            <w:shd w:val="clear" w:color="000000" w:fill="BFBFBF"/>
            <w:noWrap/>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 xml:space="preserve">Nr. </w:t>
            </w:r>
          </w:p>
        </w:tc>
        <w:tc>
          <w:tcPr>
            <w:tcW w:w="608"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Emër</w:t>
            </w:r>
            <w:r>
              <w:rPr>
                <w:rFonts w:ascii="Garamond" w:eastAsia="Times New Roman" w:hAnsi="Garamond" w:cs="Calibri"/>
                <w:b/>
                <w:bCs/>
                <w:sz w:val="14"/>
                <w:szCs w:val="14"/>
                <w:lang w:val="sq-AL"/>
              </w:rPr>
              <w:t xml:space="preserve">, </w:t>
            </w:r>
            <w:r w:rsidRPr="00B81264">
              <w:rPr>
                <w:rFonts w:ascii="Garamond" w:eastAsia="Times New Roman" w:hAnsi="Garamond" w:cs="Calibri"/>
                <w:b/>
                <w:bCs/>
                <w:sz w:val="14"/>
                <w:szCs w:val="14"/>
                <w:lang w:val="sq-AL"/>
              </w:rPr>
              <w:t>mbiemër</w:t>
            </w:r>
          </w:p>
        </w:tc>
        <w:tc>
          <w:tcPr>
            <w:tcW w:w="334"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 xml:space="preserve"> Zona kadastrale</w:t>
            </w:r>
          </w:p>
        </w:tc>
        <w:tc>
          <w:tcPr>
            <w:tcW w:w="368"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Nr. i p</w:t>
            </w:r>
            <w:r w:rsidRPr="00B81264">
              <w:rPr>
                <w:rFonts w:ascii="Garamond" w:eastAsia="Times New Roman" w:hAnsi="Garamond" w:cs="Calibri"/>
                <w:b/>
                <w:bCs/>
                <w:sz w:val="14"/>
                <w:szCs w:val="14"/>
                <w:lang w:val="sq-AL"/>
              </w:rPr>
              <w:t>asurisë</w:t>
            </w:r>
          </w:p>
        </w:tc>
        <w:tc>
          <w:tcPr>
            <w:tcW w:w="368"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Rrethi</w:t>
            </w:r>
          </w:p>
        </w:tc>
        <w:tc>
          <w:tcPr>
            <w:tcW w:w="368"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Sip. e truallit (m</w:t>
            </w:r>
            <w:r w:rsidRPr="00B81264">
              <w:rPr>
                <w:rFonts w:ascii="Garamond" w:eastAsia="Times New Roman" w:hAnsi="Garamond" w:cs="Calibri"/>
                <w:b/>
                <w:bCs/>
                <w:sz w:val="14"/>
                <w:szCs w:val="14"/>
                <w:vertAlign w:val="superscript"/>
                <w:lang w:val="sq-AL"/>
              </w:rPr>
              <w:t>2</w:t>
            </w:r>
            <w:r w:rsidRPr="00B81264">
              <w:rPr>
                <w:rFonts w:ascii="Garamond" w:eastAsia="Times New Roman" w:hAnsi="Garamond" w:cs="Calibri"/>
                <w:b/>
                <w:bCs/>
                <w:sz w:val="14"/>
                <w:szCs w:val="14"/>
                <w:lang w:val="sq-AL"/>
              </w:rPr>
              <w:t xml:space="preserve">) </w:t>
            </w:r>
          </w:p>
        </w:tc>
        <w:tc>
          <w:tcPr>
            <w:tcW w:w="440"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Sip. e ndërtimit (m</w:t>
            </w:r>
            <w:r w:rsidRPr="00B81264">
              <w:rPr>
                <w:rFonts w:ascii="Garamond" w:eastAsia="Times New Roman" w:hAnsi="Garamond" w:cs="Calibri"/>
                <w:b/>
                <w:bCs/>
                <w:sz w:val="14"/>
                <w:szCs w:val="14"/>
                <w:vertAlign w:val="superscript"/>
                <w:lang w:val="sq-AL"/>
              </w:rPr>
              <w:t>2</w:t>
            </w:r>
            <w:r w:rsidRPr="00B81264">
              <w:rPr>
                <w:rFonts w:ascii="Garamond" w:eastAsia="Times New Roman" w:hAnsi="Garamond" w:cs="Calibri"/>
                <w:b/>
                <w:bCs/>
                <w:sz w:val="14"/>
                <w:szCs w:val="14"/>
                <w:lang w:val="sq-AL"/>
              </w:rPr>
              <w:t>)</w:t>
            </w:r>
          </w:p>
        </w:tc>
        <w:tc>
          <w:tcPr>
            <w:tcW w:w="368"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Çmimi i truallit (l/m</w:t>
            </w:r>
            <w:r w:rsidRPr="00B81264">
              <w:rPr>
                <w:rFonts w:ascii="Garamond" w:eastAsia="Times New Roman" w:hAnsi="Garamond" w:cs="Calibri"/>
                <w:b/>
                <w:bCs/>
                <w:sz w:val="14"/>
                <w:szCs w:val="14"/>
                <w:vertAlign w:val="superscript"/>
                <w:lang w:val="sq-AL"/>
              </w:rPr>
              <w:t>2</w:t>
            </w:r>
            <w:r w:rsidRPr="00B81264">
              <w:rPr>
                <w:rFonts w:ascii="Garamond" w:eastAsia="Times New Roman" w:hAnsi="Garamond" w:cs="Calibri"/>
                <w:b/>
                <w:bCs/>
                <w:sz w:val="14"/>
                <w:szCs w:val="14"/>
                <w:lang w:val="sq-AL"/>
              </w:rPr>
              <w:t>)</w:t>
            </w:r>
          </w:p>
        </w:tc>
        <w:tc>
          <w:tcPr>
            <w:tcW w:w="515"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Vlera e truallit (lekë)</w:t>
            </w:r>
          </w:p>
        </w:tc>
        <w:tc>
          <w:tcPr>
            <w:tcW w:w="368" w:type="pct"/>
            <w:tcBorders>
              <w:top w:val="single" w:sz="4" w:space="0" w:color="auto"/>
              <w:left w:val="nil"/>
              <w:bottom w:val="single" w:sz="4" w:space="0" w:color="auto"/>
              <w:right w:val="single" w:sz="4" w:space="0" w:color="auto"/>
            </w:tcBorders>
            <w:shd w:val="clear" w:color="000000" w:fill="BFBFBF"/>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Vlera e ndërtimit (lekë)</w:t>
            </w:r>
          </w:p>
        </w:tc>
        <w:tc>
          <w:tcPr>
            <w:tcW w:w="517" w:type="pct"/>
            <w:tcBorders>
              <w:top w:val="single" w:sz="4" w:space="0" w:color="auto"/>
              <w:left w:val="nil"/>
              <w:bottom w:val="single" w:sz="4" w:space="0" w:color="auto"/>
              <w:right w:val="single" w:sz="4" w:space="0" w:color="auto"/>
            </w:tcBorders>
            <w:shd w:val="clear" w:color="000000" w:fill="BFBFBF"/>
            <w:noWrap/>
            <w:hideMark/>
          </w:tcPr>
          <w:p w:rsidR="008F3D0E" w:rsidRPr="00B81264" w:rsidRDefault="008F3D0E" w:rsidP="00AD4F44">
            <w:pPr>
              <w:spacing w:after="0" w:line="240" w:lineRule="auto"/>
              <w:ind w:firstLine="0"/>
              <w:jc w:val="center"/>
              <w:rPr>
                <w:rFonts w:ascii="Garamond" w:eastAsia="Times New Roman" w:hAnsi="Garamond" w:cs="Calibri"/>
                <w:b/>
                <w:bCs/>
                <w:color w:val="000000"/>
                <w:sz w:val="14"/>
                <w:szCs w:val="14"/>
                <w:lang w:val="sq-AL"/>
              </w:rPr>
            </w:pPr>
            <w:r w:rsidRPr="00B81264">
              <w:rPr>
                <w:rFonts w:ascii="Garamond" w:eastAsia="Times New Roman" w:hAnsi="Garamond" w:cs="Calibri"/>
                <w:b/>
                <w:bCs/>
                <w:color w:val="000000"/>
                <w:sz w:val="14"/>
                <w:szCs w:val="14"/>
                <w:lang w:val="sq-AL"/>
              </w:rPr>
              <w:t>Vlera totale</w:t>
            </w:r>
          </w:p>
        </w:tc>
        <w:tc>
          <w:tcPr>
            <w:tcW w:w="512" w:type="pct"/>
            <w:tcBorders>
              <w:top w:val="single" w:sz="4" w:space="0" w:color="auto"/>
              <w:left w:val="nil"/>
              <w:bottom w:val="single" w:sz="4" w:space="0" w:color="auto"/>
              <w:right w:val="single" w:sz="4" w:space="0" w:color="auto"/>
            </w:tcBorders>
            <w:shd w:val="clear" w:color="000000" w:fill="BFBFBF"/>
            <w:noWrap/>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Shënime</w:t>
            </w:r>
          </w:p>
        </w:tc>
      </w:tr>
      <w:tr w:rsidR="008F3D0E" w:rsidRPr="00B81264" w:rsidTr="00AD4F44">
        <w:trPr>
          <w:trHeight w:val="139"/>
          <w:jc w:val="center"/>
        </w:trPr>
        <w:tc>
          <w:tcPr>
            <w:tcW w:w="234" w:type="pct"/>
            <w:tcBorders>
              <w:top w:val="nil"/>
              <w:left w:val="single" w:sz="4" w:space="0" w:color="auto"/>
              <w:bottom w:val="single" w:sz="4" w:space="0" w:color="auto"/>
              <w:right w:val="single" w:sz="4" w:space="0" w:color="auto"/>
            </w:tcBorders>
            <w:shd w:val="clear" w:color="000000" w:fill="BFBFBF"/>
            <w:noWrap/>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1</w:t>
            </w:r>
          </w:p>
        </w:tc>
        <w:tc>
          <w:tcPr>
            <w:tcW w:w="608" w:type="pct"/>
            <w:tcBorders>
              <w:top w:val="nil"/>
              <w:left w:val="nil"/>
              <w:bottom w:val="single" w:sz="4" w:space="0" w:color="auto"/>
              <w:right w:val="single" w:sz="4" w:space="0" w:color="auto"/>
            </w:tcBorders>
            <w:shd w:val="clear" w:color="000000" w:fill="BFBFBF"/>
            <w:noWrap/>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2</w:t>
            </w:r>
          </w:p>
        </w:tc>
        <w:tc>
          <w:tcPr>
            <w:tcW w:w="334"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3</w:t>
            </w:r>
          </w:p>
        </w:tc>
        <w:tc>
          <w:tcPr>
            <w:tcW w:w="368"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4</w:t>
            </w:r>
          </w:p>
        </w:tc>
        <w:tc>
          <w:tcPr>
            <w:tcW w:w="368"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5</w:t>
            </w:r>
          </w:p>
        </w:tc>
        <w:tc>
          <w:tcPr>
            <w:tcW w:w="368"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6</w:t>
            </w:r>
          </w:p>
        </w:tc>
        <w:tc>
          <w:tcPr>
            <w:tcW w:w="440"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7</w:t>
            </w:r>
          </w:p>
        </w:tc>
        <w:tc>
          <w:tcPr>
            <w:tcW w:w="368"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8</w:t>
            </w:r>
          </w:p>
        </w:tc>
        <w:tc>
          <w:tcPr>
            <w:tcW w:w="515" w:type="pct"/>
            <w:tcBorders>
              <w:top w:val="nil"/>
              <w:left w:val="nil"/>
              <w:bottom w:val="single" w:sz="4" w:space="0" w:color="auto"/>
              <w:right w:val="single" w:sz="4" w:space="0" w:color="auto"/>
            </w:tcBorders>
            <w:shd w:val="clear" w:color="000000" w:fill="BFBFBF"/>
            <w:noWrap/>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9</w:t>
            </w:r>
          </w:p>
        </w:tc>
        <w:tc>
          <w:tcPr>
            <w:tcW w:w="368" w:type="pct"/>
            <w:tcBorders>
              <w:top w:val="nil"/>
              <w:left w:val="nil"/>
              <w:bottom w:val="single" w:sz="4" w:space="0" w:color="auto"/>
              <w:right w:val="single" w:sz="4" w:space="0" w:color="auto"/>
            </w:tcBorders>
            <w:shd w:val="clear" w:color="000000" w:fill="BFBFBF"/>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10</w:t>
            </w:r>
          </w:p>
        </w:tc>
        <w:tc>
          <w:tcPr>
            <w:tcW w:w="517" w:type="pct"/>
            <w:tcBorders>
              <w:top w:val="nil"/>
              <w:left w:val="nil"/>
              <w:bottom w:val="single" w:sz="4" w:space="0" w:color="auto"/>
              <w:right w:val="single" w:sz="4" w:space="0" w:color="auto"/>
            </w:tcBorders>
            <w:shd w:val="clear" w:color="000000" w:fill="BFBFBF"/>
            <w:noWrap/>
            <w:vAlign w:val="center"/>
            <w:hideMark/>
          </w:tcPr>
          <w:p w:rsidR="008F3D0E" w:rsidRPr="00B81264" w:rsidRDefault="008F3D0E" w:rsidP="00AD4F44">
            <w:pPr>
              <w:spacing w:after="0" w:line="240" w:lineRule="auto"/>
              <w:ind w:firstLine="0"/>
              <w:jc w:val="center"/>
              <w:rPr>
                <w:rFonts w:ascii="Garamond" w:eastAsia="Times New Roman" w:hAnsi="Garamond" w:cs="Calibri"/>
                <w:b/>
                <w:bCs/>
                <w:color w:val="000000"/>
                <w:sz w:val="14"/>
                <w:szCs w:val="14"/>
                <w:lang w:val="sq-AL"/>
              </w:rPr>
            </w:pPr>
            <w:r w:rsidRPr="00B81264">
              <w:rPr>
                <w:rFonts w:ascii="Garamond" w:eastAsia="Times New Roman" w:hAnsi="Garamond" w:cs="Calibri"/>
                <w:b/>
                <w:bCs/>
                <w:color w:val="000000"/>
                <w:sz w:val="14"/>
                <w:szCs w:val="14"/>
                <w:lang w:val="sq-AL"/>
              </w:rPr>
              <w:t>11</w:t>
            </w:r>
          </w:p>
        </w:tc>
        <w:tc>
          <w:tcPr>
            <w:tcW w:w="512" w:type="pct"/>
            <w:tcBorders>
              <w:top w:val="nil"/>
              <w:left w:val="nil"/>
              <w:bottom w:val="single" w:sz="4" w:space="0" w:color="auto"/>
              <w:right w:val="single" w:sz="4" w:space="0" w:color="auto"/>
            </w:tcBorders>
            <w:shd w:val="clear" w:color="000000" w:fill="BFBFBF"/>
            <w:noWrap/>
            <w:vAlign w:val="center"/>
            <w:hideMark/>
          </w:tcPr>
          <w:p w:rsidR="008F3D0E" w:rsidRPr="00B81264" w:rsidRDefault="008F3D0E" w:rsidP="00AD4F44">
            <w:pPr>
              <w:spacing w:after="0" w:line="240" w:lineRule="auto"/>
              <w:ind w:firstLine="0"/>
              <w:jc w:val="center"/>
              <w:rPr>
                <w:rFonts w:ascii="Garamond" w:eastAsia="Times New Roman" w:hAnsi="Garamond" w:cs="Calibri"/>
                <w:b/>
                <w:bCs/>
                <w:sz w:val="14"/>
                <w:szCs w:val="14"/>
                <w:lang w:val="sq-AL"/>
              </w:rPr>
            </w:pPr>
            <w:r w:rsidRPr="00B81264">
              <w:rPr>
                <w:rFonts w:ascii="Garamond" w:eastAsia="Times New Roman" w:hAnsi="Garamond" w:cs="Calibri"/>
                <w:b/>
                <w:bCs/>
                <w:sz w:val="14"/>
                <w:szCs w:val="14"/>
                <w:lang w:val="sq-AL"/>
              </w:rPr>
              <w:t>12</w:t>
            </w:r>
          </w:p>
        </w:tc>
      </w:tr>
      <w:tr w:rsidR="008F3D0E" w:rsidRPr="00B81264" w:rsidTr="00AD4F44">
        <w:trPr>
          <w:trHeight w:val="139"/>
          <w:jc w:val="center"/>
        </w:trPr>
        <w:tc>
          <w:tcPr>
            <w:tcW w:w="234" w:type="pct"/>
            <w:tcBorders>
              <w:top w:val="nil"/>
              <w:left w:val="single" w:sz="4" w:space="0" w:color="auto"/>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center"/>
              <w:rPr>
                <w:rFonts w:ascii="Garamond" w:eastAsia="Times New Roman" w:hAnsi="Garamond" w:cs="Calibri"/>
                <w:b/>
                <w:bCs/>
                <w:color w:val="000000"/>
                <w:sz w:val="14"/>
                <w:szCs w:val="14"/>
                <w:lang w:val="sq-AL"/>
              </w:rPr>
            </w:pPr>
            <w:r w:rsidRPr="00B81264">
              <w:rPr>
                <w:rFonts w:ascii="Garamond" w:eastAsia="Times New Roman" w:hAnsi="Garamond" w:cs="Calibri"/>
                <w:bCs/>
                <w:color w:val="000000"/>
                <w:sz w:val="14"/>
                <w:szCs w:val="14"/>
                <w:lang w:val="sq-AL"/>
              </w:rPr>
              <w:t>13</w:t>
            </w:r>
          </w:p>
        </w:tc>
        <w:tc>
          <w:tcPr>
            <w:tcW w:w="608"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left"/>
              <w:rPr>
                <w:rFonts w:ascii="Garamond" w:eastAsia="Times New Roman" w:hAnsi="Garamond" w:cs="Calibri"/>
                <w:sz w:val="14"/>
                <w:szCs w:val="14"/>
                <w:lang w:val="sq-AL"/>
              </w:rPr>
            </w:pPr>
            <w:r w:rsidRPr="00B81264">
              <w:rPr>
                <w:rFonts w:ascii="Garamond" w:eastAsia="Times New Roman" w:hAnsi="Garamond" w:cs="Calibri"/>
                <w:sz w:val="14"/>
                <w:szCs w:val="14"/>
                <w:lang w:val="sq-AL"/>
              </w:rPr>
              <w:t>Kujtim Guni</w:t>
            </w:r>
            <w:r>
              <w:rPr>
                <w:rFonts w:ascii="Garamond" w:eastAsia="Times New Roman" w:hAnsi="Garamond" w:cs="Calibri"/>
                <w:sz w:val="14"/>
                <w:szCs w:val="14"/>
                <w:lang w:val="sq-AL"/>
              </w:rPr>
              <w:t>,</w:t>
            </w:r>
            <w:r w:rsidRPr="00B81264">
              <w:rPr>
                <w:rFonts w:ascii="Garamond" w:eastAsia="Times New Roman" w:hAnsi="Garamond" w:cs="Calibri"/>
                <w:sz w:val="14"/>
                <w:szCs w:val="14"/>
                <w:lang w:val="sq-AL"/>
              </w:rPr>
              <w:t xml:space="preserve"> Afërdita Guni</w:t>
            </w:r>
            <w:r>
              <w:rPr>
                <w:rFonts w:ascii="Garamond" w:eastAsia="Times New Roman" w:hAnsi="Garamond" w:cs="Calibri"/>
                <w:sz w:val="14"/>
                <w:szCs w:val="14"/>
                <w:lang w:val="sq-AL"/>
              </w:rPr>
              <w:t xml:space="preserve">, </w:t>
            </w:r>
            <w:r w:rsidRPr="00B81264">
              <w:rPr>
                <w:rFonts w:ascii="Garamond" w:eastAsia="Times New Roman" w:hAnsi="Garamond" w:cs="Calibri"/>
                <w:sz w:val="14"/>
                <w:szCs w:val="14"/>
                <w:lang w:val="sq-AL"/>
              </w:rPr>
              <w:t>Arben Guni</w:t>
            </w:r>
            <w:r>
              <w:rPr>
                <w:rFonts w:ascii="Garamond" w:eastAsia="Times New Roman" w:hAnsi="Garamond" w:cs="Calibri"/>
                <w:sz w:val="14"/>
                <w:szCs w:val="14"/>
                <w:lang w:val="sq-AL"/>
              </w:rPr>
              <w:t xml:space="preserve">, </w:t>
            </w:r>
            <w:r w:rsidRPr="00B81264">
              <w:rPr>
                <w:rFonts w:ascii="Garamond" w:eastAsia="Times New Roman" w:hAnsi="Garamond" w:cs="Calibri"/>
                <w:sz w:val="14"/>
                <w:szCs w:val="14"/>
                <w:lang w:val="sq-AL"/>
              </w:rPr>
              <w:t>Meleq Guni dhe Paquze Guni (Gjoni)</w:t>
            </w:r>
          </w:p>
        </w:tc>
        <w:tc>
          <w:tcPr>
            <w:tcW w:w="334"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sidRPr="00B81264">
              <w:rPr>
                <w:rFonts w:ascii="Garamond" w:eastAsia="Times New Roman" w:hAnsi="Garamond" w:cs="Calibri"/>
                <w:sz w:val="14"/>
                <w:szCs w:val="14"/>
                <w:lang w:val="sq-AL"/>
              </w:rPr>
              <w:t>8621</w:t>
            </w:r>
          </w:p>
        </w:tc>
        <w:tc>
          <w:tcPr>
            <w:tcW w:w="368"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sidRPr="00B81264">
              <w:rPr>
                <w:rFonts w:ascii="Garamond" w:eastAsia="Times New Roman" w:hAnsi="Garamond" w:cs="Calibri"/>
                <w:sz w:val="14"/>
                <w:szCs w:val="14"/>
                <w:lang w:val="sq-AL"/>
              </w:rPr>
              <w:t>3/1257</w:t>
            </w:r>
          </w:p>
        </w:tc>
        <w:tc>
          <w:tcPr>
            <w:tcW w:w="368"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center"/>
              <w:rPr>
                <w:rFonts w:ascii="Garamond" w:eastAsia="Times New Roman" w:hAnsi="Garamond" w:cs="Calibri"/>
                <w:sz w:val="14"/>
                <w:szCs w:val="14"/>
                <w:lang w:val="sq-AL"/>
              </w:rPr>
            </w:pPr>
            <w:r w:rsidRPr="00B81264">
              <w:rPr>
                <w:rFonts w:ascii="Garamond" w:eastAsia="Times New Roman" w:hAnsi="Garamond" w:cs="Calibri"/>
                <w:sz w:val="14"/>
                <w:szCs w:val="14"/>
                <w:lang w:val="sq-AL"/>
              </w:rPr>
              <w:t>Krujë</w:t>
            </w:r>
          </w:p>
        </w:tc>
        <w:tc>
          <w:tcPr>
            <w:tcW w:w="368"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sidRPr="00B81264">
              <w:rPr>
                <w:rFonts w:ascii="Garamond" w:eastAsia="Times New Roman" w:hAnsi="Garamond" w:cs="Calibri"/>
                <w:sz w:val="14"/>
                <w:szCs w:val="14"/>
                <w:lang w:val="sq-AL"/>
              </w:rPr>
              <w:t xml:space="preserve">2,315.00 </w:t>
            </w:r>
          </w:p>
        </w:tc>
        <w:tc>
          <w:tcPr>
            <w:tcW w:w="440"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sidRPr="00B81264">
              <w:rPr>
                <w:rFonts w:ascii="Garamond" w:eastAsia="Times New Roman" w:hAnsi="Garamond" w:cs="Calibri"/>
                <w:sz w:val="14"/>
                <w:szCs w:val="14"/>
                <w:lang w:val="sq-AL"/>
              </w:rPr>
              <w:t xml:space="preserve"> ____ </w:t>
            </w:r>
          </w:p>
        </w:tc>
        <w:tc>
          <w:tcPr>
            <w:tcW w:w="368"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Pr>
                <w:rFonts w:ascii="Garamond" w:eastAsia="Times New Roman" w:hAnsi="Garamond" w:cs="Calibri"/>
                <w:sz w:val="14"/>
                <w:szCs w:val="14"/>
                <w:lang w:val="sq-AL"/>
              </w:rPr>
              <w:t xml:space="preserve"> </w:t>
            </w:r>
            <w:r w:rsidRPr="00B81264">
              <w:rPr>
                <w:rFonts w:ascii="Garamond" w:eastAsia="Times New Roman" w:hAnsi="Garamond" w:cs="Calibri"/>
                <w:sz w:val="14"/>
                <w:szCs w:val="14"/>
                <w:lang w:val="sq-AL"/>
              </w:rPr>
              <w:t xml:space="preserve">4,011 </w:t>
            </w:r>
          </w:p>
        </w:tc>
        <w:tc>
          <w:tcPr>
            <w:tcW w:w="515"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 </w:t>
            </w:r>
            <w:r w:rsidRPr="00B81264">
              <w:rPr>
                <w:rFonts w:ascii="Garamond" w:eastAsia="Times New Roman" w:hAnsi="Garamond" w:cs="Calibri"/>
                <w:color w:val="000000"/>
                <w:sz w:val="14"/>
                <w:szCs w:val="14"/>
                <w:lang w:val="sq-AL"/>
              </w:rPr>
              <w:t xml:space="preserve">9,285,465.00 </w:t>
            </w:r>
          </w:p>
        </w:tc>
        <w:tc>
          <w:tcPr>
            <w:tcW w:w="368"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sidRPr="00B81264">
              <w:rPr>
                <w:rFonts w:ascii="Garamond" w:eastAsia="Times New Roman" w:hAnsi="Garamond" w:cs="Calibri"/>
                <w:sz w:val="14"/>
                <w:szCs w:val="14"/>
                <w:lang w:val="sq-AL"/>
              </w:rPr>
              <w:t xml:space="preserve"> ______ </w:t>
            </w:r>
          </w:p>
        </w:tc>
        <w:tc>
          <w:tcPr>
            <w:tcW w:w="517" w:type="pct"/>
            <w:tcBorders>
              <w:top w:val="nil"/>
              <w:left w:val="nil"/>
              <w:bottom w:val="single" w:sz="4" w:space="0" w:color="auto"/>
              <w:right w:val="single" w:sz="4" w:space="0" w:color="auto"/>
            </w:tcBorders>
            <w:shd w:val="clear" w:color="auto" w:fill="auto"/>
            <w:vAlign w:val="center"/>
            <w:hideMark/>
          </w:tcPr>
          <w:p w:rsidR="008F3D0E" w:rsidRPr="00B81264" w:rsidRDefault="008F3D0E" w:rsidP="00AD4F44">
            <w:pPr>
              <w:spacing w:after="0" w:line="240" w:lineRule="auto"/>
              <w:ind w:firstLine="0"/>
              <w:jc w:val="right"/>
              <w:rPr>
                <w:rFonts w:ascii="Garamond" w:eastAsia="Times New Roman" w:hAnsi="Garamond" w:cs="Calibri"/>
                <w:sz w:val="14"/>
                <w:szCs w:val="14"/>
                <w:lang w:val="sq-AL"/>
              </w:rPr>
            </w:pPr>
            <w:r>
              <w:rPr>
                <w:rFonts w:ascii="Garamond" w:eastAsia="Times New Roman" w:hAnsi="Garamond" w:cs="Calibri"/>
                <w:sz w:val="14"/>
                <w:szCs w:val="14"/>
                <w:lang w:val="sq-AL"/>
              </w:rPr>
              <w:t xml:space="preserve"> </w:t>
            </w:r>
            <w:r w:rsidRPr="00B81264">
              <w:rPr>
                <w:rFonts w:ascii="Garamond" w:eastAsia="Times New Roman" w:hAnsi="Garamond" w:cs="Calibri"/>
                <w:sz w:val="14"/>
                <w:szCs w:val="14"/>
                <w:lang w:val="sq-AL"/>
              </w:rPr>
              <w:t xml:space="preserve">9,285,465.00 </w:t>
            </w:r>
          </w:p>
        </w:tc>
        <w:tc>
          <w:tcPr>
            <w:tcW w:w="512" w:type="pct"/>
            <w:tcBorders>
              <w:top w:val="nil"/>
              <w:left w:val="nil"/>
              <w:bottom w:val="single" w:sz="4" w:space="0" w:color="auto"/>
              <w:right w:val="single" w:sz="4" w:space="0" w:color="auto"/>
            </w:tcBorders>
            <w:shd w:val="clear" w:color="auto" w:fill="auto"/>
            <w:hideMark/>
          </w:tcPr>
          <w:p w:rsidR="008F3D0E" w:rsidRPr="00B81264" w:rsidRDefault="008F3D0E" w:rsidP="00AD4F44">
            <w:pPr>
              <w:spacing w:after="0" w:line="240" w:lineRule="auto"/>
              <w:ind w:firstLine="0"/>
              <w:jc w:val="left"/>
              <w:rPr>
                <w:rFonts w:ascii="Garamond" w:eastAsia="Times New Roman" w:hAnsi="Garamond" w:cs="Calibri"/>
                <w:sz w:val="14"/>
                <w:szCs w:val="14"/>
                <w:lang w:val="sq-AL"/>
              </w:rPr>
            </w:pPr>
            <w:r w:rsidRPr="00B81264">
              <w:rPr>
                <w:rFonts w:ascii="Garamond" w:eastAsia="Times New Roman" w:hAnsi="Garamond" w:cs="Calibri"/>
                <w:sz w:val="14"/>
                <w:szCs w:val="14"/>
                <w:lang w:val="sq-AL"/>
              </w:rPr>
              <w:t>Konfirmuar nga ZVRPP-ja Krujë. Pasuri e llojit truall.</w:t>
            </w:r>
          </w:p>
        </w:tc>
      </w:tr>
    </w:tbl>
    <w:p w:rsidR="00D07D17" w:rsidRDefault="00D07D17"/>
    <w:sectPr w:rsidR="00D07D17" w:rsidSect="008F3D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1865415"/>
      <w:docPartObj>
        <w:docPartGallery w:val="Page Numbers (Bottom of Page)"/>
        <w:docPartUnique/>
      </w:docPartObj>
    </w:sdtPr>
    <w:sdtEndPr>
      <w:rPr>
        <w:rFonts w:ascii="Garamond" w:hAnsi="Garamond"/>
        <w:noProof/>
        <w:sz w:val="24"/>
        <w:szCs w:val="24"/>
      </w:rPr>
    </w:sdtEndPr>
    <w:sdtContent>
      <w:p w:rsidR="00F60B1A" w:rsidRPr="00B4283E" w:rsidRDefault="008F3D0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9702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B1A" w:rsidRPr="005B4361" w:rsidRDefault="008F3D0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895494558"/>
      <w:docPartObj>
        <w:docPartGallery w:val="Page Numbers (Bottom of Page)"/>
        <w:docPartUnique/>
      </w:docPartObj>
    </w:sdtPr>
    <w:sdtEndPr>
      <w:rPr>
        <w:noProof/>
        <w:sz w:val="24"/>
        <w:szCs w:val="24"/>
      </w:rPr>
    </w:sdtEndPr>
    <w:sdtContent>
      <w:p w:rsidR="00F60B1A" w:rsidRPr="00833610" w:rsidRDefault="008F3D0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60B1A" w:rsidRDefault="008F3D0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60B1A" w:rsidRPr="00EB260B" w:rsidTr="00C34BAA">
      <w:trPr>
        <w:trHeight w:val="936"/>
        <w:jc w:val="center"/>
      </w:trPr>
      <w:tc>
        <w:tcPr>
          <w:tcW w:w="2811" w:type="dxa"/>
          <w:shd w:val="pct5" w:color="auto" w:fill="F2F2F2"/>
          <w:vAlign w:val="center"/>
        </w:tcPr>
        <w:p w:rsidR="00F60B1A" w:rsidRPr="00EB260B" w:rsidRDefault="008F3D0E"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w:t>
          </w:r>
          <w:r w:rsidRPr="00EB260B">
            <w:rPr>
              <w:rFonts w:ascii="Garamond" w:hAnsi="Garamond"/>
              <w:b/>
              <w:sz w:val="28"/>
              <w:szCs w:val="28"/>
            </w:rPr>
            <w:t xml:space="preserve"> Zyrtare</w:t>
          </w:r>
        </w:p>
      </w:tc>
      <w:tc>
        <w:tcPr>
          <w:tcW w:w="3952" w:type="dxa"/>
          <w:shd w:val="pct5" w:color="auto" w:fill="F2F2F2"/>
          <w:vAlign w:val="center"/>
        </w:tcPr>
        <w:p w:rsidR="00F60B1A" w:rsidRPr="00EB260B" w:rsidRDefault="008F3D0E" w:rsidP="00C34BAA">
          <w:pPr>
            <w:pStyle w:val="NoSpacing"/>
            <w:spacing w:before="100" w:after="100"/>
            <w:jc w:val="center"/>
            <w:rPr>
              <w:rFonts w:ascii="Garamond" w:hAnsi="Garamond"/>
              <w:b/>
              <w:sz w:val="28"/>
              <w:szCs w:val="28"/>
            </w:rPr>
          </w:pPr>
          <w:r>
            <w:rPr>
              <w:noProof/>
              <w:lang w:val="en-US"/>
            </w:rPr>
            <w:drawing>
              <wp:inline distT="0" distB="0" distL="0" distR="0" wp14:anchorId="24F7E9E4" wp14:editId="55D48C72">
                <wp:extent cx="304524" cy="427512"/>
                <wp:effectExtent l="0" t="0" r="635" b="0"/>
                <wp:docPr id="19" name="Picture 1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60B1A" w:rsidRPr="00EB260B" w:rsidRDefault="008F3D0E"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145</w:t>
          </w:r>
        </w:p>
      </w:tc>
    </w:tr>
  </w:tbl>
  <w:p w:rsidR="00F60B1A" w:rsidRPr="00385E2C" w:rsidRDefault="008F3D0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B1A" w:rsidRDefault="008F3D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B1A" w:rsidRDefault="008F3D0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D0E"/>
    <w:rsid w:val="008F3D0E"/>
    <w:rsid w:val="00D0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C14C3-1A6E-427F-B91A-0D357AC9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D0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3D0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F3D0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F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D0E"/>
    <w:rPr>
      <w:rFonts w:ascii="Calibri" w:eastAsia="Calibri" w:hAnsi="Calibri" w:cs="Times New Roman"/>
    </w:rPr>
  </w:style>
  <w:style w:type="paragraph" w:styleId="Footer">
    <w:name w:val="footer"/>
    <w:basedOn w:val="Normal"/>
    <w:link w:val="FooterChar"/>
    <w:unhideWhenUsed/>
    <w:rsid w:val="008F3D0E"/>
    <w:pPr>
      <w:tabs>
        <w:tab w:val="center" w:pos="4680"/>
        <w:tab w:val="right" w:pos="9360"/>
      </w:tabs>
      <w:spacing w:after="0" w:line="240" w:lineRule="auto"/>
    </w:pPr>
  </w:style>
  <w:style w:type="character" w:customStyle="1" w:styleId="FooterChar">
    <w:name w:val="Footer Char"/>
    <w:basedOn w:val="DefaultParagraphFont"/>
    <w:link w:val="Footer"/>
    <w:rsid w:val="008F3D0E"/>
    <w:rPr>
      <w:rFonts w:ascii="Calibri" w:eastAsia="Calibri" w:hAnsi="Calibri" w:cs="Times New Roman"/>
    </w:rPr>
  </w:style>
  <w:style w:type="paragraph" w:customStyle="1" w:styleId="Paragrafi">
    <w:name w:val="Paragrafi"/>
    <w:link w:val="ParagrafiChar"/>
    <w:qFormat/>
    <w:rsid w:val="008F3D0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F3D0E"/>
    <w:rPr>
      <w:rFonts w:ascii="Garamond" w:eastAsia="MS Mincho" w:hAnsi="Garamond" w:cs="CG Times"/>
      <w:sz w:val="24"/>
    </w:rPr>
  </w:style>
  <w:style w:type="paragraph" w:customStyle="1" w:styleId="NeniTitull">
    <w:name w:val="Neni_Titull"/>
    <w:next w:val="Normal"/>
    <w:link w:val="NeniTitullChar"/>
    <w:rsid w:val="008F3D0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TitullChar">
    <w:name w:val="Neni_Titull Char"/>
    <w:link w:val="NeniTitull"/>
    <w:locked/>
    <w:rsid w:val="008F3D0E"/>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2018-10-11T13:36:00Z</dcterms:created>
  <dcterms:modified xsi:type="dcterms:W3CDTF">2018-10-11T13:36:00Z</dcterms:modified>
</cp:coreProperties>
</file>