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73D" w:rsidRDefault="00FA273D" w:rsidP="00FA273D">
      <w:pPr>
        <w:pStyle w:val="NeniTitull"/>
        <w:rPr>
          <w:lang w:val="sq-AL"/>
        </w:rPr>
      </w:pPr>
      <w:r>
        <w:rPr>
          <w:lang w:val="sq-AL"/>
        </w:rPr>
        <w:t>KËRKESË</w:t>
      </w:r>
    </w:p>
    <w:p w:rsidR="00FA273D" w:rsidRDefault="00FA273D" w:rsidP="00FA273D">
      <w:pPr>
        <w:pStyle w:val="NeniTitull"/>
        <w:rPr>
          <w:lang w:val="sq-AL"/>
        </w:rPr>
      </w:pPr>
      <w:r>
        <w:rPr>
          <w:lang w:val="sq-AL"/>
        </w:rPr>
        <w:t>Nr. 2178/2 datë 19.2.2019</w:t>
      </w:r>
    </w:p>
    <w:p w:rsidR="00FA273D" w:rsidRDefault="00FA273D" w:rsidP="00FA273D">
      <w:pPr>
        <w:pStyle w:val="NeniTitull"/>
        <w:rPr>
          <w:sz w:val="14"/>
          <w:lang w:val="sq-AL"/>
        </w:rPr>
      </w:pPr>
    </w:p>
    <w:p w:rsidR="00FA273D" w:rsidRDefault="00FA273D" w:rsidP="00FA273D">
      <w:pPr>
        <w:pStyle w:val="NeniTitull"/>
        <w:rPr>
          <w:lang w:val="sq-AL"/>
        </w:rPr>
      </w:pPr>
      <w:r>
        <w:rPr>
          <w:lang w:val="sq-AL"/>
        </w:rPr>
        <w:t>PËR SHPRONËSIM PUBLIK</w:t>
      </w:r>
    </w:p>
    <w:p w:rsidR="00FA273D" w:rsidRDefault="00FA273D" w:rsidP="00FA273D">
      <w:pPr>
        <w:pStyle w:val="Paragrafi"/>
        <w:rPr>
          <w:sz w:val="14"/>
          <w:lang w:val="sq-AL"/>
        </w:rPr>
      </w:pPr>
    </w:p>
    <w:p w:rsidR="00FA273D" w:rsidRDefault="00FA273D" w:rsidP="00FA273D">
      <w:pPr>
        <w:pStyle w:val="Paragrafi"/>
        <w:rPr>
          <w:lang w:val="sq-AL"/>
        </w:rPr>
      </w:pPr>
      <w:r>
        <w:rPr>
          <w:lang w:val="sq-AL"/>
        </w:rPr>
        <w:t>Ministria e Infrastrukturës dhe Energjisë shpall kërkesën për shpronësim, për interes publik të pasurive të paluajtshme, pronë private, që preken nga realizimi i projektit, “Ndërtim, asfaltim i rrugës Cërrik – Belsh – Dragot – Kuçovë – Ura Vajgurore”.</w:t>
      </w:r>
    </w:p>
    <w:p w:rsidR="00FA273D" w:rsidRDefault="00FA273D" w:rsidP="00FA273D">
      <w:pPr>
        <w:pStyle w:val="Paragrafi"/>
        <w:rPr>
          <w:lang w:val="sq-AL"/>
        </w:rPr>
      </w:pPr>
      <w:r>
        <w:rPr>
          <w:lang w:val="sq-AL"/>
        </w:rPr>
        <w:t>Subjekti kërkues i këtij projekti është Bashkia Kuçovë.</w:t>
      </w:r>
    </w:p>
    <w:p w:rsidR="00FA273D" w:rsidRDefault="00FA273D" w:rsidP="00FA273D">
      <w:pPr>
        <w:pStyle w:val="Paragrafi"/>
        <w:rPr>
          <w:lang w:val="sq-AL"/>
        </w:rPr>
      </w:pPr>
      <w:r>
        <w:rPr>
          <w:lang w:val="sq-AL"/>
        </w:rPr>
        <w:t>Me anë të këtij publikimi, kërkojmë të vëmë në dijeni personat e prekur nga ky shpronësim, për pasuritë e paluajtshme, pronë private, të cilat do të kompensohen sipas vlerësimit paraprak të llogaritur, bazuar në VKM-në nr. 89, datë 3.2.2016, “Për miratimin e hartës së vlerës së tokës në Republikën e Shqipërisë”, si dhe në VKM-në nr. 138, datë 23.3.2000 “Për kriteret teknike të vlerësimit dhe të përllogaritjes së masës së shpërblimit të pasurive që shpronësohen, të pasurive që zhvlerësohen dhe të të drejtave të personave të tretë, për interes publik”, i ndryshuar, udhëzimin nr. 3, datë 28.12.2016, i EKB-së Tiranë, sipas tabelës paraprake bashkëlidhur.</w:t>
      </w:r>
    </w:p>
    <w:p w:rsidR="00FA273D" w:rsidRDefault="00FA273D" w:rsidP="00FA273D">
      <w:pPr>
        <w:pStyle w:val="Paragrafi"/>
        <w:rPr>
          <w:lang w:val="sq-AL"/>
        </w:rPr>
      </w:pPr>
      <w:r>
        <w:rPr>
          <w:lang w:val="sq-AL"/>
        </w:rPr>
        <w:t xml:space="preserve">Vlera totale paraprake e shpronësimit është 12,318,300 (dymbëdhjetë milionë e treqind e tetëmbëdhjetë mijë e treqind) lekë.  </w:t>
      </w:r>
    </w:p>
    <w:p w:rsidR="00FA273D" w:rsidRDefault="00FA273D" w:rsidP="00FA273D">
      <w:pPr>
        <w:pStyle w:val="Paragrafi"/>
        <w:rPr>
          <w:sz w:val="14"/>
          <w:lang w:val="sq-AL"/>
        </w:rPr>
      </w:pPr>
    </w:p>
    <w:p w:rsidR="00FA273D" w:rsidRDefault="00FA273D" w:rsidP="00FA273D">
      <w:pPr>
        <w:pStyle w:val="Paragrafi"/>
        <w:jc w:val="right"/>
        <w:rPr>
          <w:lang w:val="sq-AL"/>
        </w:rPr>
      </w:pPr>
      <w:r>
        <w:rPr>
          <w:lang w:val="sq-AL"/>
        </w:rPr>
        <w:t xml:space="preserve">ZËVENDËSMINISTËR I INFRASTRUKTURËS DHE ENERGJISË </w:t>
      </w:r>
    </w:p>
    <w:p w:rsidR="00FA273D" w:rsidRDefault="00FA273D" w:rsidP="00FA273D">
      <w:pPr>
        <w:pStyle w:val="Paragrafi"/>
        <w:jc w:val="right"/>
        <w:rPr>
          <w:lang w:val="sq-AL"/>
        </w:rPr>
      </w:pPr>
      <w:r>
        <w:rPr>
          <w:b/>
          <w:szCs w:val="24"/>
          <w:lang w:val="sq-AL"/>
        </w:rPr>
        <w:t>Artan Shkreli</w:t>
      </w:r>
    </w:p>
    <w:p w:rsidR="00FA273D" w:rsidRDefault="00FA273D" w:rsidP="00FA273D">
      <w:pPr>
        <w:spacing w:after="0" w:line="240" w:lineRule="auto"/>
        <w:jc w:val="right"/>
        <w:rPr>
          <w:rFonts w:ascii="Garamond" w:hAnsi="Garamond"/>
          <w:b/>
          <w:sz w:val="24"/>
          <w:szCs w:val="24"/>
          <w:lang w:val="sq-AL"/>
        </w:rPr>
        <w:sectPr w:rsidR="00FA273D" w:rsidSect="00FA273D">
          <w:pgSz w:w="11907" w:h="16840"/>
          <w:pgMar w:top="720" w:right="1134" w:bottom="720" w:left="1134" w:header="851" w:footer="851" w:gutter="0"/>
          <w:cols w:space="454"/>
        </w:sectPr>
      </w:pPr>
    </w:p>
    <w:p w:rsidR="00FA273D" w:rsidRDefault="00FA273D" w:rsidP="00FA273D">
      <w:pPr>
        <w:spacing w:after="0" w:line="240" w:lineRule="auto"/>
        <w:jc w:val="right"/>
        <w:rPr>
          <w:rFonts w:ascii="Garamond" w:hAnsi="Garamond"/>
          <w:b/>
          <w:sz w:val="24"/>
          <w:szCs w:val="24"/>
          <w:lang w:val="sq-AL"/>
        </w:rPr>
      </w:pPr>
    </w:p>
    <w:p w:rsidR="00FA273D" w:rsidRDefault="00FA273D" w:rsidP="00FA273D">
      <w:pPr>
        <w:spacing w:after="0" w:line="240" w:lineRule="auto"/>
        <w:ind w:firstLine="0"/>
        <w:jc w:val="left"/>
        <w:rPr>
          <w:rFonts w:ascii="Garamond" w:hAnsi="Garamond"/>
          <w:sz w:val="14"/>
          <w:szCs w:val="24"/>
          <w:lang w:val="sq-AL"/>
        </w:rPr>
        <w:sectPr w:rsidR="00FA273D" w:rsidSect="00FA273D">
          <w:type w:val="continuous"/>
          <w:pgSz w:w="11907" w:h="16840"/>
          <w:pgMar w:top="720" w:right="1134" w:bottom="720" w:left="1134" w:header="851" w:footer="851" w:gutter="0"/>
          <w:cols w:num="2" w:space="454"/>
        </w:sectPr>
      </w:pPr>
    </w:p>
    <w:p w:rsidR="00FA273D" w:rsidRDefault="00FA273D" w:rsidP="00FA273D">
      <w:pPr>
        <w:pStyle w:val="Paragrafi"/>
        <w:jc w:val="left"/>
        <w:rPr>
          <w:rFonts w:eastAsia="Times New Roman"/>
          <w:b/>
          <w:spacing w:val="-4"/>
          <w:lang w:val="sq-AL" w:eastAsia="en-GB"/>
        </w:rPr>
      </w:pPr>
    </w:p>
    <w:tbl>
      <w:tblPr>
        <w:tblW w:w="5100" w:type="pct"/>
        <w:tblLook w:val="04A0" w:firstRow="1" w:lastRow="0" w:firstColumn="1" w:lastColumn="0" w:noHBand="0" w:noVBand="1"/>
      </w:tblPr>
      <w:tblGrid>
        <w:gridCol w:w="1803"/>
        <w:gridCol w:w="1754"/>
        <w:gridCol w:w="1465"/>
        <w:gridCol w:w="1315"/>
        <w:gridCol w:w="1214"/>
        <w:gridCol w:w="887"/>
        <w:gridCol w:w="699"/>
        <w:gridCol w:w="887"/>
        <w:gridCol w:w="1117"/>
        <w:gridCol w:w="1421"/>
        <w:gridCol w:w="1315"/>
        <w:gridCol w:w="1831"/>
      </w:tblGrid>
      <w:tr w:rsidR="00FA273D" w:rsidTr="00FA273D">
        <w:trPr>
          <w:trHeight w:val="139"/>
        </w:trPr>
        <w:tc>
          <w:tcPr>
            <w:tcW w:w="5000" w:type="pct"/>
            <w:gridSpan w:val="12"/>
            <w:noWrap/>
            <w:vAlign w:val="center"/>
            <w:hideMark/>
          </w:tcPr>
          <w:p w:rsidR="00FA273D" w:rsidRDefault="00FA273D">
            <w:pPr>
              <w:spacing w:after="0" w:line="240" w:lineRule="auto"/>
              <w:ind w:firstLine="0"/>
              <w:jc w:val="center"/>
              <w:rPr>
                <w:rFonts w:ascii="Garamond" w:eastAsia="Times New Roman" w:hAnsi="Garamond" w:cs="Calibri"/>
                <w:b/>
                <w:bCs/>
                <w:sz w:val="18"/>
                <w:szCs w:val="18"/>
                <w:lang w:val="sq-AL"/>
              </w:rPr>
            </w:pPr>
            <w:r>
              <w:rPr>
                <w:rFonts w:ascii="Garamond" w:eastAsia="Times New Roman" w:hAnsi="Garamond" w:cs="Calibri"/>
                <w:b/>
                <w:bCs/>
                <w:sz w:val="18"/>
                <w:szCs w:val="18"/>
                <w:lang w:val="sq-AL"/>
              </w:rPr>
              <w:t xml:space="preserve">Lista paraprake e  pronarëve të pasurive pronë private që preken nga realizimi i  projektit:                            </w:t>
            </w:r>
          </w:p>
        </w:tc>
      </w:tr>
      <w:tr w:rsidR="00FA273D" w:rsidTr="00FA273D">
        <w:trPr>
          <w:trHeight w:val="139"/>
        </w:trPr>
        <w:tc>
          <w:tcPr>
            <w:tcW w:w="5000" w:type="pct"/>
            <w:gridSpan w:val="12"/>
            <w:noWrap/>
            <w:vAlign w:val="bottom"/>
            <w:hideMark/>
          </w:tcPr>
          <w:p w:rsidR="00FA273D" w:rsidRDefault="00FA273D">
            <w:pPr>
              <w:rPr>
                <w:rFonts w:ascii="Garamond" w:eastAsia="Times New Roman" w:hAnsi="Garamond" w:cs="Calibri"/>
                <w:b/>
                <w:bCs/>
                <w:sz w:val="18"/>
                <w:szCs w:val="18"/>
                <w:lang w:val="sq-AL"/>
              </w:rPr>
            </w:pPr>
          </w:p>
        </w:tc>
      </w:tr>
      <w:tr w:rsidR="00FA273D" w:rsidTr="00FA273D">
        <w:trPr>
          <w:trHeight w:val="139"/>
        </w:trPr>
        <w:tc>
          <w:tcPr>
            <w:tcW w:w="5000" w:type="pct"/>
            <w:gridSpan w:val="12"/>
            <w:noWrap/>
            <w:vAlign w:val="bottom"/>
            <w:hideMark/>
          </w:tcPr>
          <w:p w:rsidR="00FA273D" w:rsidRDefault="00FA273D">
            <w:pPr>
              <w:spacing w:after="0" w:line="240" w:lineRule="auto"/>
              <w:ind w:firstLine="0"/>
              <w:jc w:val="left"/>
              <w:rPr>
                <w:rFonts w:ascii="Garamond" w:eastAsia="Times New Roman" w:hAnsi="Garamond" w:cs="Calibri"/>
                <w:b/>
                <w:bCs/>
                <w:sz w:val="18"/>
                <w:szCs w:val="18"/>
                <w:lang w:val="sq-AL"/>
              </w:rPr>
            </w:pPr>
            <w:r>
              <w:rPr>
                <w:rFonts w:ascii="Garamond" w:eastAsia="Times New Roman" w:hAnsi="Garamond" w:cs="Calibri"/>
                <w:b/>
                <w:bCs/>
                <w:sz w:val="18"/>
                <w:szCs w:val="18"/>
                <w:lang w:val="sq-AL"/>
              </w:rPr>
              <w:t>Ndërtim, asfaltim i rrugës Cërrik- Belsh – Dragot – Kuçovë – Ura Vajgurore</w:t>
            </w:r>
          </w:p>
          <w:p w:rsidR="00FA273D" w:rsidRDefault="00FA273D">
            <w:pPr>
              <w:spacing w:after="0" w:line="240" w:lineRule="auto"/>
              <w:ind w:firstLine="0"/>
              <w:jc w:val="right"/>
              <w:rPr>
                <w:rFonts w:ascii="Garamond" w:eastAsia="Times New Roman" w:hAnsi="Garamond" w:cs="Calibri"/>
                <w:b/>
                <w:bCs/>
                <w:sz w:val="18"/>
                <w:szCs w:val="18"/>
                <w:lang w:val="sq-AL"/>
              </w:rPr>
            </w:pPr>
            <w:r>
              <w:rPr>
                <w:rFonts w:ascii="Garamond" w:eastAsia="Times New Roman" w:hAnsi="Garamond" w:cs="Calibri"/>
                <w:b/>
                <w:bCs/>
                <w:sz w:val="18"/>
                <w:szCs w:val="18"/>
                <w:lang w:val="sq-AL"/>
              </w:rPr>
              <w:t>Për ndërtimet vlerësimi është bërë sipas V.K.M-së 138, datë 23.08.2000, i ndryshuar</w:t>
            </w:r>
          </w:p>
        </w:tc>
      </w:tr>
      <w:tr w:rsidR="00FA273D" w:rsidTr="00FA273D">
        <w:trPr>
          <w:trHeight w:val="139"/>
        </w:trPr>
        <w:tc>
          <w:tcPr>
            <w:tcW w:w="5000" w:type="pct"/>
            <w:gridSpan w:val="12"/>
            <w:noWrap/>
            <w:vAlign w:val="bottom"/>
            <w:hideMark/>
          </w:tcPr>
          <w:p w:rsidR="00FA273D" w:rsidRDefault="00FA273D">
            <w:pPr>
              <w:spacing w:after="0" w:line="240" w:lineRule="auto"/>
              <w:ind w:firstLine="0"/>
              <w:jc w:val="right"/>
              <w:rPr>
                <w:rFonts w:ascii="Garamond" w:eastAsia="Times New Roman" w:hAnsi="Garamond" w:cs="Calibri"/>
                <w:b/>
                <w:bCs/>
                <w:sz w:val="18"/>
                <w:szCs w:val="18"/>
                <w:lang w:val="sq-AL"/>
              </w:rPr>
            </w:pPr>
            <w:r>
              <w:rPr>
                <w:rFonts w:ascii="Garamond" w:eastAsia="Times New Roman" w:hAnsi="Garamond" w:cs="Calibri"/>
                <w:b/>
                <w:bCs/>
                <w:sz w:val="18"/>
                <w:szCs w:val="18"/>
                <w:lang w:val="sq-AL"/>
              </w:rPr>
              <w:t>Vlera për pasurinë  objekt shërbimi me situacion sipas çmimeve nga EKB</w:t>
            </w:r>
          </w:p>
        </w:tc>
      </w:tr>
      <w:tr w:rsidR="00FA273D" w:rsidTr="00FA273D">
        <w:trPr>
          <w:trHeight w:val="139"/>
        </w:trPr>
        <w:tc>
          <w:tcPr>
            <w:tcW w:w="546" w:type="pct"/>
            <w:noWrap/>
            <w:vAlign w:val="bottom"/>
            <w:hideMark/>
          </w:tcPr>
          <w:p w:rsidR="00FA273D" w:rsidRDefault="00FA273D">
            <w:pPr>
              <w:rPr>
                <w:rFonts w:ascii="Garamond" w:eastAsia="Times New Roman" w:hAnsi="Garamond" w:cs="Calibri"/>
                <w:b/>
                <w:bCs/>
                <w:sz w:val="18"/>
                <w:szCs w:val="18"/>
                <w:lang w:val="sq-AL"/>
              </w:rPr>
            </w:pPr>
          </w:p>
        </w:tc>
        <w:tc>
          <w:tcPr>
            <w:tcW w:w="561"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469" w:type="pct"/>
            <w:vMerge w:val="restart"/>
            <w:shd w:val="clear" w:color="auto" w:fill="FFFFFF"/>
            <w:noWrap/>
            <w:vAlign w:val="center"/>
            <w:hideMark/>
          </w:tcPr>
          <w:p w:rsidR="00FA273D" w:rsidRDefault="00FA273D">
            <w:pPr>
              <w:spacing w:after="0" w:line="240" w:lineRule="auto"/>
              <w:ind w:firstLine="0"/>
              <w:jc w:val="center"/>
              <w:rPr>
                <w:rFonts w:ascii="Garamond" w:eastAsia="Times New Roman" w:hAnsi="Garamond" w:cs="Calibri"/>
                <w:b/>
                <w:bCs/>
                <w:i/>
                <w:iCs/>
                <w:sz w:val="18"/>
                <w:szCs w:val="18"/>
                <w:lang w:val="sq-AL"/>
              </w:rPr>
            </w:pPr>
            <w:r>
              <w:rPr>
                <w:rFonts w:ascii="Garamond" w:eastAsia="Times New Roman" w:hAnsi="Garamond" w:cs="Calibri"/>
                <w:b/>
                <w:bCs/>
                <w:i/>
                <w:iCs/>
                <w:sz w:val="18"/>
                <w:szCs w:val="18"/>
                <w:lang w:val="sq-AL"/>
              </w:rPr>
              <w:t> </w:t>
            </w:r>
          </w:p>
        </w:tc>
        <w:tc>
          <w:tcPr>
            <w:tcW w:w="421" w:type="pct"/>
            <w:noWrap/>
            <w:vAlign w:val="bottom"/>
            <w:hideMark/>
          </w:tcPr>
          <w:p w:rsidR="00FA273D" w:rsidRDefault="00FA273D">
            <w:pPr>
              <w:rPr>
                <w:rFonts w:ascii="Garamond" w:eastAsia="Times New Roman" w:hAnsi="Garamond" w:cs="Calibri"/>
                <w:b/>
                <w:bCs/>
                <w:i/>
                <w:iCs/>
                <w:sz w:val="18"/>
                <w:szCs w:val="18"/>
                <w:lang w:val="sq-AL"/>
              </w:rPr>
            </w:pPr>
          </w:p>
        </w:tc>
        <w:tc>
          <w:tcPr>
            <w:tcW w:w="389"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284"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225"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284"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1819" w:type="pct"/>
            <w:gridSpan w:val="4"/>
            <w:noWrap/>
            <w:vAlign w:val="bottom"/>
            <w:hideMark/>
          </w:tcPr>
          <w:p w:rsidR="00FA273D" w:rsidRDefault="00FA273D">
            <w:pPr>
              <w:spacing w:after="0" w:line="240" w:lineRule="auto"/>
              <w:ind w:firstLine="0"/>
              <w:jc w:val="left"/>
              <w:rPr>
                <w:rFonts w:ascii="Garamond" w:eastAsia="Times New Roman" w:hAnsi="Garamond" w:cs="Calibri"/>
                <w:b/>
                <w:bCs/>
                <w:sz w:val="18"/>
                <w:szCs w:val="18"/>
                <w:lang w:val="sq-AL"/>
              </w:rPr>
            </w:pPr>
            <w:r>
              <w:rPr>
                <w:rFonts w:ascii="Garamond" w:eastAsia="Times New Roman" w:hAnsi="Garamond" w:cs="Calibri"/>
                <w:b/>
                <w:bCs/>
                <w:sz w:val="18"/>
                <w:szCs w:val="18"/>
                <w:lang w:val="sq-AL"/>
              </w:rPr>
              <w:t>Çmimi për pasurinë truall sipas vendimit    nr. 89, datë 3.2.2016</w:t>
            </w:r>
          </w:p>
        </w:tc>
      </w:tr>
      <w:tr w:rsidR="00FA273D" w:rsidTr="00FA273D">
        <w:trPr>
          <w:trHeight w:val="30"/>
        </w:trPr>
        <w:tc>
          <w:tcPr>
            <w:tcW w:w="546" w:type="pct"/>
            <w:noWrap/>
            <w:vAlign w:val="bottom"/>
            <w:hideMark/>
          </w:tcPr>
          <w:p w:rsidR="00FA273D" w:rsidRDefault="00FA273D">
            <w:pPr>
              <w:rPr>
                <w:rFonts w:ascii="Garamond" w:eastAsia="Times New Roman" w:hAnsi="Garamond" w:cs="Calibri"/>
                <w:b/>
                <w:bCs/>
                <w:sz w:val="18"/>
                <w:szCs w:val="18"/>
                <w:lang w:val="sq-AL"/>
              </w:rPr>
            </w:pPr>
          </w:p>
        </w:tc>
        <w:tc>
          <w:tcPr>
            <w:tcW w:w="561"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0" w:type="auto"/>
            <w:vMerge/>
            <w:vAlign w:val="center"/>
            <w:hideMark/>
          </w:tcPr>
          <w:p w:rsidR="00FA273D" w:rsidRDefault="00FA273D">
            <w:pPr>
              <w:spacing w:after="0"/>
              <w:ind w:firstLine="0"/>
              <w:jc w:val="left"/>
              <w:rPr>
                <w:rFonts w:ascii="Garamond" w:eastAsia="Times New Roman" w:hAnsi="Garamond" w:cs="Calibri"/>
                <w:b/>
                <w:bCs/>
                <w:i/>
                <w:iCs/>
                <w:sz w:val="18"/>
                <w:szCs w:val="18"/>
                <w:lang w:val="sq-AL"/>
              </w:rPr>
            </w:pPr>
          </w:p>
        </w:tc>
        <w:tc>
          <w:tcPr>
            <w:tcW w:w="421"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389"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284"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225"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284"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358"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455"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421"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c>
          <w:tcPr>
            <w:tcW w:w="585" w:type="pct"/>
            <w:noWrap/>
            <w:vAlign w:val="bottom"/>
            <w:hideMark/>
          </w:tcPr>
          <w:p w:rsidR="00FA273D" w:rsidRDefault="00FA273D">
            <w:pPr>
              <w:spacing w:after="0"/>
              <w:ind w:firstLine="0"/>
              <w:jc w:val="left"/>
              <w:rPr>
                <w:rFonts w:asciiTheme="minorHAnsi" w:eastAsiaTheme="minorHAnsi" w:hAnsiTheme="minorHAnsi" w:cstheme="minorBidi"/>
                <w:sz w:val="20"/>
                <w:szCs w:val="20"/>
              </w:rPr>
            </w:pPr>
          </w:p>
        </w:tc>
      </w:tr>
      <w:tr w:rsidR="00FA273D" w:rsidTr="00FA273D">
        <w:trPr>
          <w:trHeight w:val="139"/>
        </w:trPr>
        <w:tc>
          <w:tcPr>
            <w:tcW w:w="546"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Nr.</w:t>
            </w:r>
          </w:p>
        </w:tc>
        <w:tc>
          <w:tcPr>
            <w:tcW w:w="561"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Emër Mbiemër</w:t>
            </w:r>
          </w:p>
        </w:tc>
        <w:tc>
          <w:tcPr>
            <w:tcW w:w="469"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Zona Kadastrale</w:t>
            </w:r>
          </w:p>
        </w:tc>
        <w:tc>
          <w:tcPr>
            <w:tcW w:w="421"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Nr/pasurisë</w:t>
            </w:r>
          </w:p>
        </w:tc>
        <w:tc>
          <w:tcPr>
            <w:tcW w:w="674" w:type="pct"/>
            <w:gridSpan w:val="2"/>
            <w:tcBorders>
              <w:top w:val="single" w:sz="4" w:space="0" w:color="auto"/>
              <w:left w:val="nil"/>
              <w:bottom w:val="single" w:sz="4" w:space="0" w:color="auto"/>
              <w:right w:val="single" w:sz="4" w:space="0" w:color="000000"/>
            </w:tcBorders>
            <w:shd w:val="clear" w:color="auto" w:fill="D9D9D9"/>
            <w:noWrap/>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Sipërfaqja e prekur</w:t>
            </w:r>
          </w:p>
        </w:tc>
        <w:tc>
          <w:tcPr>
            <w:tcW w:w="510"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sz w:val="12"/>
                <w:szCs w:val="12"/>
                <w:lang w:val="sq-AL"/>
              </w:rPr>
              <w:t>Ç</w:t>
            </w:r>
            <w:r>
              <w:rPr>
                <w:rFonts w:ascii="Garamond" w:eastAsia="Times New Roman" w:hAnsi="Garamond" w:cs="Calibri"/>
                <w:b/>
                <w:bCs/>
                <w:iCs/>
                <w:sz w:val="12"/>
                <w:szCs w:val="12"/>
                <w:lang w:val="sq-AL"/>
              </w:rPr>
              <w:t>mimi</w:t>
            </w:r>
          </w:p>
        </w:tc>
        <w:tc>
          <w:tcPr>
            <w:tcW w:w="358"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Vlera e Truall</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Vlera e ndërtesë llogaritur me situacion</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Vlera totale/ lekë</w:t>
            </w:r>
          </w:p>
        </w:tc>
        <w:tc>
          <w:tcPr>
            <w:tcW w:w="585"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2"/>
                <w:szCs w:val="12"/>
                <w:lang w:val="sq-AL"/>
              </w:rPr>
            </w:pPr>
            <w:r>
              <w:rPr>
                <w:rFonts w:ascii="Garamond" w:eastAsia="Times New Roman" w:hAnsi="Garamond" w:cs="Calibri"/>
                <w:b/>
                <w:bCs/>
                <w:iCs/>
                <w:sz w:val="12"/>
                <w:szCs w:val="12"/>
                <w:lang w:val="sq-AL"/>
              </w:rPr>
              <w:t>Shënime Konfirmuar ose jo nga  ZVRPP-ja</w:t>
            </w:r>
          </w:p>
        </w:tc>
      </w:tr>
      <w:tr w:rsidR="00FA273D" w:rsidTr="00FA273D">
        <w:trPr>
          <w:trHeight w:val="18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389" w:type="pct"/>
            <w:tcBorders>
              <w:top w:val="nil"/>
              <w:left w:val="nil"/>
              <w:bottom w:val="single" w:sz="4" w:space="0" w:color="auto"/>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4"/>
                <w:szCs w:val="14"/>
                <w:lang w:val="sq-AL"/>
              </w:rPr>
            </w:pPr>
            <w:r>
              <w:rPr>
                <w:rFonts w:ascii="Garamond" w:eastAsia="Times New Roman" w:hAnsi="Garamond" w:cs="Calibri"/>
                <w:b/>
                <w:bCs/>
                <w:iCs/>
                <w:sz w:val="14"/>
                <w:szCs w:val="14"/>
                <w:lang w:val="sq-AL"/>
              </w:rPr>
              <w:t>Truall / m</w:t>
            </w:r>
            <w:r>
              <w:rPr>
                <w:rFonts w:ascii="Garamond" w:eastAsia="Times New Roman" w:hAnsi="Garamond" w:cs="Calibri"/>
                <w:b/>
                <w:bCs/>
                <w:iCs/>
                <w:sz w:val="14"/>
                <w:szCs w:val="14"/>
                <w:vertAlign w:val="superscript"/>
                <w:lang w:val="sq-AL"/>
              </w:rPr>
              <w:t>2</w:t>
            </w:r>
          </w:p>
        </w:tc>
        <w:tc>
          <w:tcPr>
            <w:tcW w:w="284" w:type="pct"/>
            <w:tcBorders>
              <w:top w:val="nil"/>
              <w:left w:val="nil"/>
              <w:bottom w:val="single" w:sz="4" w:space="0" w:color="auto"/>
              <w:right w:val="single" w:sz="4" w:space="0" w:color="auto"/>
            </w:tcBorders>
            <w:shd w:val="clear" w:color="auto" w:fill="D9D9D9"/>
            <w:vAlign w:val="center"/>
            <w:hideMark/>
          </w:tcPr>
          <w:p w:rsidR="00FA273D" w:rsidRDefault="00FA273D">
            <w:pPr>
              <w:spacing w:after="0" w:line="240" w:lineRule="auto"/>
              <w:ind w:firstLine="0"/>
              <w:jc w:val="center"/>
              <w:rPr>
                <w:rFonts w:ascii="Garamond" w:eastAsia="Times New Roman" w:hAnsi="Garamond" w:cs="Calibri"/>
                <w:b/>
                <w:bCs/>
                <w:iCs/>
                <w:sz w:val="14"/>
                <w:szCs w:val="14"/>
                <w:lang w:val="sq-AL"/>
              </w:rPr>
            </w:pPr>
            <w:r>
              <w:rPr>
                <w:rFonts w:ascii="Garamond" w:eastAsia="Times New Roman" w:hAnsi="Garamond" w:cs="Calibri"/>
                <w:b/>
                <w:bCs/>
                <w:iCs/>
                <w:sz w:val="14"/>
                <w:szCs w:val="14"/>
                <w:lang w:val="sq-AL"/>
              </w:rPr>
              <w:t>Ndërtesë / m</w:t>
            </w:r>
            <w:r>
              <w:rPr>
                <w:rFonts w:ascii="Garamond" w:eastAsia="Times New Roman" w:hAnsi="Garamond" w:cs="Calibri"/>
                <w:b/>
                <w:bCs/>
                <w:iCs/>
                <w:sz w:val="14"/>
                <w:szCs w:val="14"/>
                <w:vertAlign w:val="superscript"/>
                <w:lang w:val="sq-AL"/>
              </w:rPr>
              <w:t>2</w:t>
            </w:r>
          </w:p>
        </w:tc>
        <w:tc>
          <w:tcPr>
            <w:tcW w:w="225" w:type="pct"/>
            <w:tcBorders>
              <w:top w:val="nil"/>
              <w:left w:val="nil"/>
              <w:bottom w:val="single" w:sz="4" w:space="0" w:color="auto"/>
              <w:right w:val="single" w:sz="4" w:space="0" w:color="auto"/>
            </w:tcBorders>
            <w:shd w:val="clear" w:color="auto" w:fill="D9D9D9"/>
            <w:noWrap/>
            <w:vAlign w:val="center"/>
            <w:hideMark/>
          </w:tcPr>
          <w:p w:rsidR="00FA273D" w:rsidRDefault="00FA273D">
            <w:pPr>
              <w:spacing w:after="0" w:line="240" w:lineRule="auto"/>
              <w:ind w:firstLine="0"/>
              <w:jc w:val="center"/>
              <w:rPr>
                <w:rFonts w:ascii="Garamond" w:eastAsia="Times New Roman" w:hAnsi="Garamond" w:cs="Calibri"/>
                <w:b/>
                <w:bCs/>
                <w:iCs/>
                <w:sz w:val="14"/>
                <w:szCs w:val="14"/>
                <w:lang w:val="sq-AL"/>
              </w:rPr>
            </w:pPr>
            <w:r>
              <w:rPr>
                <w:rFonts w:ascii="Garamond" w:eastAsia="Times New Roman" w:hAnsi="Garamond" w:cs="Calibri"/>
                <w:b/>
                <w:bCs/>
                <w:iCs/>
                <w:sz w:val="14"/>
                <w:szCs w:val="14"/>
                <w:lang w:val="sq-AL"/>
              </w:rPr>
              <w:t>Truall</w:t>
            </w:r>
          </w:p>
        </w:tc>
        <w:tc>
          <w:tcPr>
            <w:tcW w:w="284" w:type="pct"/>
            <w:tcBorders>
              <w:top w:val="nil"/>
              <w:left w:val="nil"/>
              <w:bottom w:val="single" w:sz="4" w:space="0" w:color="auto"/>
              <w:right w:val="single" w:sz="4" w:space="0" w:color="auto"/>
            </w:tcBorders>
            <w:shd w:val="clear" w:color="auto" w:fill="D9D9D9"/>
            <w:noWrap/>
            <w:vAlign w:val="center"/>
            <w:hideMark/>
          </w:tcPr>
          <w:p w:rsidR="00FA273D" w:rsidRDefault="00FA273D">
            <w:pPr>
              <w:spacing w:after="0" w:line="240" w:lineRule="auto"/>
              <w:ind w:firstLine="0"/>
              <w:jc w:val="center"/>
              <w:rPr>
                <w:rFonts w:ascii="Garamond" w:eastAsia="Times New Roman" w:hAnsi="Garamond" w:cs="Calibri"/>
                <w:b/>
                <w:bCs/>
                <w:iCs/>
                <w:sz w:val="14"/>
                <w:szCs w:val="14"/>
                <w:lang w:val="sq-AL"/>
              </w:rPr>
            </w:pPr>
            <w:r>
              <w:rPr>
                <w:rFonts w:ascii="Garamond" w:eastAsia="Times New Roman" w:hAnsi="Garamond" w:cs="Calibri"/>
                <w:b/>
                <w:bCs/>
                <w:iCs/>
                <w:sz w:val="14"/>
                <w:szCs w:val="14"/>
                <w:lang w:val="sq-AL"/>
              </w:rPr>
              <w:t>Ndërtesë</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273D" w:rsidRDefault="00FA273D">
            <w:pPr>
              <w:spacing w:after="0"/>
              <w:ind w:firstLine="0"/>
              <w:jc w:val="left"/>
              <w:rPr>
                <w:rFonts w:ascii="Garamond" w:eastAsia="Times New Roman" w:hAnsi="Garamond" w:cs="Calibri"/>
                <w:b/>
                <w:bCs/>
                <w:iCs/>
                <w:sz w:val="12"/>
                <w:szCs w:val="12"/>
                <w:lang w:val="sq-AL"/>
              </w:rPr>
            </w:pPr>
          </w:p>
        </w:tc>
      </w:tr>
      <w:tr w:rsidR="00FA273D" w:rsidTr="00FA273D">
        <w:trPr>
          <w:trHeight w:val="139"/>
        </w:trPr>
        <w:tc>
          <w:tcPr>
            <w:tcW w:w="546" w:type="pct"/>
            <w:tcBorders>
              <w:top w:val="nil"/>
              <w:left w:val="single" w:sz="4" w:space="0" w:color="auto"/>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w:t>
            </w:r>
          </w:p>
        </w:tc>
        <w:tc>
          <w:tcPr>
            <w:tcW w:w="56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Bujar Sul Marra</w:t>
            </w:r>
          </w:p>
        </w:tc>
        <w:tc>
          <w:tcPr>
            <w:tcW w:w="46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1943</w:t>
            </w:r>
          </w:p>
        </w:tc>
        <w:tc>
          <w:tcPr>
            <w:tcW w:w="42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582/46</w:t>
            </w:r>
          </w:p>
        </w:tc>
        <w:tc>
          <w:tcPr>
            <w:tcW w:w="38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244.86</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144.8</w:t>
            </w:r>
          </w:p>
        </w:tc>
        <w:tc>
          <w:tcPr>
            <w:tcW w:w="225"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335</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358"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82,028</w:t>
            </w:r>
          </w:p>
        </w:tc>
        <w:tc>
          <w:tcPr>
            <w:tcW w:w="455"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             4,453,398 </w:t>
            </w:r>
          </w:p>
        </w:tc>
        <w:tc>
          <w:tcPr>
            <w:tcW w:w="421"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4,535,426</w:t>
            </w:r>
          </w:p>
        </w:tc>
        <w:tc>
          <w:tcPr>
            <w:tcW w:w="585" w:type="pct"/>
            <w:tcBorders>
              <w:top w:val="nil"/>
              <w:left w:val="nil"/>
              <w:bottom w:val="single" w:sz="4" w:space="0" w:color="auto"/>
              <w:right w:val="single" w:sz="4" w:space="0" w:color="auto"/>
            </w:tcBorders>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Konfirmuar nga ZVRPP </w:t>
            </w:r>
          </w:p>
        </w:tc>
      </w:tr>
      <w:tr w:rsidR="00FA273D" w:rsidTr="00FA273D">
        <w:trPr>
          <w:trHeight w:val="139"/>
        </w:trPr>
        <w:tc>
          <w:tcPr>
            <w:tcW w:w="546" w:type="pct"/>
            <w:tcBorders>
              <w:top w:val="nil"/>
              <w:left w:val="single" w:sz="4" w:space="0" w:color="auto"/>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2</w:t>
            </w:r>
          </w:p>
        </w:tc>
        <w:tc>
          <w:tcPr>
            <w:tcW w:w="561"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Neshat Idriz Marra</w:t>
            </w:r>
          </w:p>
        </w:tc>
        <w:tc>
          <w:tcPr>
            <w:tcW w:w="46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1943</w:t>
            </w:r>
          </w:p>
        </w:tc>
        <w:tc>
          <w:tcPr>
            <w:tcW w:w="42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582/15</w:t>
            </w:r>
          </w:p>
        </w:tc>
        <w:tc>
          <w:tcPr>
            <w:tcW w:w="38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250.00</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190</w:t>
            </w:r>
          </w:p>
        </w:tc>
        <w:tc>
          <w:tcPr>
            <w:tcW w:w="225"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335</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358"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83,750</w:t>
            </w:r>
          </w:p>
        </w:tc>
        <w:tc>
          <w:tcPr>
            <w:tcW w:w="455"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              3,950,416 </w:t>
            </w:r>
          </w:p>
        </w:tc>
        <w:tc>
          <w:tcPr>
            <w:tcW w:w="421"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4,034,166</w:t>
            </w:r>
          </w:p>
        </w:tc>
        <w:tc>
          <w:tcPr>
            <w:tcW w:w="585" w:type="pct"/>
            <w:tcBorders>
              <w:top w:val="nil"/>
              <w:left w:val="nil"/>
              <w:bottom w:val="single" w:sz="4" w:space="0" w:color="auto"/>
              <w:right w:val="single" w:sz="4" w:space="0" w:color="auto"/>
            </w:tcBorders>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Saktësim dokumentacioni </w:t>
            </w:r>
          </w:p>
        </w:tc>
      </w:tr>
      <w:tr w:rsidR="00FA273D" w:rsidTr="00FA273D">
        <w:trPr>
          <w:trHeight w:val="139"/>
        </w:trPr>
        <w:tc>
          <w:tcPr>
            <w:tcW w:w="546" w:type="pct"/>
            <w:tcBorders>
              <w:top w:val="nil"/>
              <w:left w:val="single" w:sz="4" w:space="0" w:color="auto"/>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3</w:t>
            </w:r>
          </w:p>
        </w:tc>
        <w:tc>
          <w:tcPr>
            <w:tcW w:w="56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Kozare Sul Marra</w:t>
            </w:r>
          </w:p>
        </w:tc>
        <w:tc>
          <w:tcPr>
            <w:tcW w:w="46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1943</w:t>
            </w:r>
          </w:p>
        </w:tc>
        <w:tc>
          <w:tcPr>
            <w:tcW w:w="42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582/45</w:t>
            </w:r>
          </w:p>
        </w:tc>
        <w:tc>
          <w:tcPr>
            <w:tcW w:w="38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167.00</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117.5</w:t>
            </w:r>
          </w:p>
        </w:tc>
        <w:tc>
          <w:tcPr>
            <w:tcW w:w="225"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335</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358"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55,945</w:t>
            </w:r>
          </w:p>
        </w:tc>
        <w:tc>
          <w:tcPr>
            <w:tcW w:w="455"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             3,692,763 </w:t>
            </w:r>
          </w:p>
        </w:tc>
        <w:tc>
          <w:tcPr>
            <w:tcW w:w="421"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3,748,708</w:t>
            </w:r>
          </w:p>
        </w:tc>
        <w:tc>
          <w:tcPr>
            <w:tcW w:w="585" w:type="pct"/>
            <w:tcBorders>
              <w:top w:val="nil"/>
              <w:left w:val="nil"/>
              <w:bottom w:val="single" w:sz="4" w:space="0" w:color="auto"/>
              <w:right w:val="single" w:sz="4" w:space="0" w:color="auto"/>
            </w:tcBorders>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Konfirmuar nga ZVRPP </w:t>
            </w:r>
          </w:p>
        </w:tc>
      </w:tr>
      <w:tr w:rsidR="00FA273D" w:rsidTr="00FA273D">
        <w:trPr>
          <w:trHeight w:val="139"/>
        </w:trPr>
        <w:tc>
          <w:tcPr>
            <w:tcW w:w="546" w:type="pct"/>
            <w:tcBorders>
              <w:top w:val="nil"/>
              <w:left w:val="single" w:sz="4" w:space="0" w:color="auto"/>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4</w:t>
            </w:r>
          </w:p>
        </w:tc>
        <w:tc>
          <w:tcPr>
            <w:tcW w:w="56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Shtet </w:t>
            </w:r>
          </w:p>
        </w:tc>
        <w:tc>
          <w:tcPr>
            <w:tcW w:w="46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1943</w:t>
            </w:r>
          </w:p>
        </w:tc>
        <w:tc>
          <w:tcPr>
            <w:tcW w:w="421" w:type="pct"/>
            <w:tcBorders>
              <w:top w:val="nil"/>
              <w:left w:val="nil"/>
              <w:bottom w:val="single" w:sz="4" w:space="0" w:color="auto"/>
              <w:right w:val="single" w:sz="4" w:space="0" w:color="auto"/>
            </w:tcBorders>
            <w:shd w:val="clear" w:color="auto" w:fill="FFFFFF"/>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582/12</w:t>
            </w:r>
          </w:p>
        </w:tc>
        <w:tc>
          <w:tcPr>
            <w:tcW w:w="389"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108.00</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225"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284"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358"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0.00</w:t>
            </w:r>
          </w:p>
        </w:tc>
        <w:tc>
          <w:tcPr>
            <w:tcW w:w="455" w:type="pct"/>
            <w:tcBorders>
              <w:top w:val="nil"/>
              <w:left w:val="nil"/>
              <w:bottom w:val="single" w:sz="4" w:space="0" w:color="auto"/>
              <w:right w:val="single" w:sz="4" w:space="0" w:color="auto"/>
            </w:tcBorders>
            <w:shd w:val="clear" w:color="auto" w:fill="FFFFFF"/>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421" w:type="pct"/>
            <w:tcBorders>
              <w:top w:val="nil"/>
              <w:left w:val="nil"/>
              <w:bottom w:val="single" w:sz="4" w:space="0" w:color="auto"/>
              <w:right w:val="single" w:sz="4" w:space="0" w:color="auto"/>
            </w:tcBorders>
            <w:noWrap/>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0.00</w:t>
            </w:r>
          </w:p>
        </w:tc>
        <w:tc>
          <w:tcPr>
            <w:tcW w:w="585" w:type="pct"/>
            <w:tcBorders>
              <w:top w:val="nil"/>
              <w:left w:val="nil"/>
              <w:bottom w:val="single" w:sz="4" w:space="0" w:color="auto"/>
              <w:right w:val="single" w:sz="4" w:space="0" w:color="auto"/>
            </w:tcBorders>
            <w:vAlign w:val="center"/>
            <w:hideMark/>
          </w:tcPr>
          <w:p w:rsidR="00FA273D" w:rsidRDefault="00FA273D">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w:t>
            </w:r>
          </w:p>
        </w:tc>
      </w:tr>
      <w:tr w:rsidR="00FA273D" w:rsidTr="00FA273D">
        <w:trPr>
          <w:trHeight w:val="133"/>
        </w:trPr>
        <w:tc>
          <w:tcPr>
            <w:tcW w:w="546" w:type="pct"/>
            <w:tcBorders>
              <w:top w:val="nil"/>
              <w:left w:val="single" w:sz="4" w:space="0" w:color="auto"/>
              <w:bottom w:val="single" w:sz="4" w:space="0" w:color="auto"/>
              <w:right w:val="single" w:sz="4" w:space="0" w:color="auto"/>
            </w:tcBorders>
            <w:shd w:val="clear" w:color="auto" w:fill="F2F2F2"/>
            <w:noWrap/>
            <w:hideMark/>
          </w:tcPr>
          <w:p w:rsidR="00FA273D" w:rsidRDefault="00FA273D">
            <w:pPr>
              <w:spacing w:after="0" w:line="240" w:lineRule="auto"/>
              <w:ind w:firstLine="0"/>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Vlera totale e shpronësimit</w:t>
            </w:r>
          </w:p>
        </w:tc>
        <w:tc>
          <w:tcPr>
            <w:tcW w:w="561" w:type="pct"/>
            <w:tcBorders>
              <w:top w:val="nil"/>
              <w:left w:val="nil"/>
              <w:bottom w:val="single" w:sz="4" w:space="0" w:color="auto"/>
              <w:right w:val="single" w:sz="4" w:space="0" w:color="auto"/>
            </w:tcBorders>
            <w:shd w:val="clear" w:color="auto" w:fill="F2F2F2"/>
            <w:noWrap/>
            <w:vAlign w:val="center"/>
            <w:hideMark/>
          </w:tcPr>
          <w:p w:rsidR="00FA273D" w:rsidRDefault="00FA273D">
            <w:pPr>
              <w:spacing w:after="0" w:line="240" w:lineRule="auto"/>
              <w:ind w:firstLine="0"/>
              <w:jc w:val="left"/>
              <w:rPr>
                <w:rFonts w:ascii="Garamond" w:eastAsia="Times New Roman" w:hAnsi="Garamond" w:cs="Calibri"/>
                <w:b/>
                <w:bCs/>
                <w:sz w:val="14"/>
                <w:szCs w:val="14"/>
                <w:lang w:val="sq-AL"/>
              </w:rPr>
            </w:pPr>
            <w:r>
              <w:rPr>
                <w:rFonts w:ascii="Garamond" w:eastAsia="Times New Roman" w:hAnsi="Garamond" w:cs="Calibri"/>
                <w:b/>
                <w:bCs/>
                <w:sz w:val="14"/>
                <w:szCs w:val="14"/>
                <w:lang w:val="sq-AL"/>
              </w:rPr>
              <w:t> </w:t>
            </w:r>
          </w:p>
        </w:tc>
        <w:tc>
          <w:tcPr>
            <w:tcW w:w="469" w:type="pct"/>
            <w:tcBorders>
              <w:top w:val="nil"/>
              <w:left w:val="nil"/>
              <w:bottom w:val="single" w:sz="4" w:space="0" w:color="auto"/>
              <w:right w:val="single" w:sz="4" w:space="0" w:color="auto"/>
            </w:tcBorders>
            <w:shd w:val="clear" w:color="auto" w:fill="F2F2F2"/>
            <w:noWrap/>
            <w:vAlign w:val="center"/>
            <w:hideMark/>
          </w:tcPr>
          <w:p w:rsidR="00FA273D" w:rsidRDefault="00FA273D">
            <w:pPr>
              <w:spacing w:after="0" w:line="240" w:lineRule="auto"/>
              <w:ind w:firstLine="0"/>
              <w:jc w:val="left"/>
              <w:rPr>
                <w:rFonts w:ascii="Garamond" w:eastAsia="Times New Roman" w:hAnsi="Garamond" w:cs="Calibri"/>
                <w:b/>
                <w:bCs/>
                <w:sz w:val="14"/>
                <w:szCs w:val="14"/>
                <w:lang w:val="sq-AL"/>
              </w:rPr>
            </w:pPr>
            <w:r>
              <w:rPr>
                <w:rFonts w:ascii="Garamond" w:eastAsia="Times New Roman" w:hAnsi="Garamond" w:cs="Calibri"/>
                <w:b/>
                <w:bCs/>
                <w:sz w:val="14"/>
                <w:szCs w:val="14"/>
                <w:lang w:val="sq-AL"/>
              </w:rPr>
              <w:t> </w:t>
            </w:r>
          </w:p>
        </w:tc>
        <w:tc>
          <w:tcPr>
            <w:tcW w:w="421"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389"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284"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225"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284"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358"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455"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c>
          <w:tcPr>
            <w:tcW w:w="421" w:type="pct"/>
            <w:tcBorders>
              <w:top w:val="nil"/>
              <w:left w:val="nil"/>
              <w:bottom w:val="single" w:sz="4" w:space="0" w:color="auto"/>
              <w:right w:val="single" w:sz="4" w:space="0" w:color="auto"/>
            </w:tcBorders>
            <w:shd w:val="clear" w:color="auto" w:fill="F2F2F2"/>
            <w:noWrap/>
            <w:vAlign w:val="center"/>
            <w:hideMark/>
          </w:tcPr>
          <w:p w:rsidR="00FA273D" w:rsidRDefault="00FA273D">
            <w:pPr>
              <w:spacing w:after="0" w:line="240" w:lineRule="auto"/>
              <w:ind w:firstLine="0"/>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12,318,300</w:t>
            </w:r>
          </w:p>
        </w:tc>
        <w:tc>
          <w:tcPr>
            <w:tcW w:w="585" w:type="pct"/>
            <w:tcBorders>
              <w:top w:val="nil"/>
              <w:left w:val="nil"/>
              <w:bottom w:val="single" w:sz="4" w:space="0" w:color="auto"/>
              <w:right w:val="single" w:sz="4" w:space="0" w:color="auto"/>
            </w:tcBorders>
            <w:shd w:val="clear" w:color="auto" w:fill="F2F2F2"/>
            <w:noWrap/>
            <w:vAlign w:val="bottom"/>
            <w:hideMark/>
          </w:tcPr>
          <w:p w:rsidR="00FA273D" w:rsidRDefault="00FA273D">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w:t>
            </w:r>
          </w:p>
        </w:tc>
      </w:tr>
    </w:tbl>
    <w:p w:rsidR="00FA273D" w:rsidRDefault="00FA273D" w:rsidP="00FA273D">
      <w:pPr>
        <w:pStyle w:val="Paragrafi"/>
        <w:rPr>
          <w:rFonts w:eastAsia="Times New Roman"/>
          <w:b/>
          <w:spacing w:val="-4"/>
          <w:lang w:val="sq-AL" w:eastAsia="en-GB"/>
        </w:rPr>
      </w:pPr>
    </w:p>
    <w:p w:rsidR="00FA273D" w:rsidRDefault="00FA273D" w:rsidP="00FA273D">
      <w:pPr>
        <w:spacing w:after="0" w:line="240" w:lineRule="auto"/>
        <w:ind w:firstLine="0"/>
        <w:jc w:val="left"/>
        <w:rPr>
          <w:rFonts w:ascii="Garamond" w:eastAsia="Times New Roman" w:hAnsi="Garamond" w:cs="CG Times"/>
          <w:b/>
          <w:spacing w:val="-4"/>
          <w:sz w:val="24"/>
          <w:lang w:val="sq-AL" w:eastAsia="en-GB"/>
        </w:rPr>
        <w:sectPr w:rsidR="00FA273D" w:rsidSect="00FA273D">
          <w:pgSz w:w="16840" w:h="11907" w:orient="landscape"/>
          <w:pgMar w:top="1134" w:right="720" w:bottom="1134" w:left="720" w:header="851" w:footer="851" w:gutter="0"/>
          <w:cols w:space="720"/>
          <w:docGrid w:linePitch="299"/>
        </w:sectPr>
      </w:pPr>
    </w:p>
    <w:p w:rsidR="009D6D2A" w:rsidRDefault="009D6D2A" w:rsidP="00020005">
      <w:bookmarkStart w:id="0" w:name="_GoBack"/>
      <w:bookmarkEnd w:id="0"/>
    </w:p>
    <w:sectPr w:rsidR="009D6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73D"/>
    <w:rsid w:val="00020005"/>
    <w:rsid w:val="009D6D2A"/>
    <w:rsid w:val="00FA2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16296-A854-4737-966B-21D79102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73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A273D"/>
    <w:rPr>
      <w:rFonts w:ascii="Garamond" w:eastAsia="MS Mincho" w:hAnsi="Garamond" w:cs="CG Times"/>
      <w:sz w:val="24"/>
    </w:rPr>
  </w:style>
  <w:style w:type="paragraph" w:customStyle="1" w:styleId="Paragrafi">
    <w:name w:val="Paragrafi"/>
    <w:link w:val="ParagrafiChar"/>
    <w:qFormat/>
    <w:rsid w:val="00FA273D"/>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FA273D"/>
    <w:rPr>
      <w:rFonts w:ascii="Garamond" w:eastAsia="MS Mincho" w:hAnsi="Garamond" w:cs="CG Times"/>
      <w:b/>
      <w:bCs/>
      <w:sz w:val="24"/>
      <w:lang w:val="en-GB"/>
    </w:rPr>
  </w:style>
  <w:style w:type="paragraph" w:customStyle="1" w:styleId="NeniTitull">
    <w:name w:val="Neni_Titull"/>
    <w:next w:val="Normal"/>
    <w:link w:val="NeniTitullChar"/>
    <w:rsid w:val="00FA273D"/>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46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352</Words>
  <Characters>2008</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2019-02-25T09:15:00Z</dcterms:created>
  <dcterms:modified xsi:type="dcterms:W3CDTF">2019-02-25T09:17:00Z</dcterms:modified>
</cp:coreProperties>
</file>