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600" w:rsidRDefault="00E82600" w:rsidP="00E82600">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Protokolli Nr. 3</w:t>
      </w:r>
    </w:p>
    <w:p w:rsidR="00E82600" w:rsidRPr="00A15E1A" w:rsidRDefault="00E82600" w:rsidP="00E82600">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i Konventës për Mbrojtjen e të Drejtave të Njeriut dhe Lirive themelore, që ndryshon Nenet 29, 30 dhe 34</w:t>
      </w:r>
      <w:r>
        <w:rPr>
          <w:rFonts w:ascii="CG Times" w:hAnsi="CG Times" w:cs="Arial"/>
          <w:b/>
          <w:caps/>
          <w:spacing w:val="-3"/>
          <w:sz w:val="22"/>
          <w:szCs w:val="22"/>
          <w:lang w:val="sq-AL"/>
        </w:rPr>
        <w:t xml:space="preserve"> </w:t>
      </w:r>
      <w:r w:rsidRPr="00A15E1A">
        <w:rPr>
          <w:rFonts w:ascii="CG Times" w:hAnsi="CG Times" w:cs="Arial"/>
          <w:b/>
          <w:caps/>
          <w:spacing w:val="-3"/>
          <w:sz w:val="22"/>
          <w:szCs w:val="22"/>
          <w:lang w:val="sq-AL"/>
        </w:rPr>
        <w:t>të Konventës</w:t>
      </w:r>
    </w:p>
    <w:p w:rsidR="00E82600" w:rsidRPr="00A15E1A" w:rsidRDefault="00E82600" w:rsidP="00E82600">
      <w:pPr>
        <w:tabs>
          <w:tab w:val="left" w:pos="-720"/>
        </w:tabs>
        <w:suppressAutoHyphens/>
        <w:ind w:firstLine="720"/>
        <w:jc w:val="both"/>
        <w:rPr>
          <w:rFonts w:ascii="CG Times" w:hAnsi="CG Times" w:cs="Arial"/>
          <w:b/>
          <w:spacing w:val="-3"/>
          <w:sz w:val="22"/>
          <w:szCs w:val="22"/>
          <w:lang w:val="sq-AL"/>
        </w:rPr>
      </w:pPr>
    </w:p>
    <w:p w:rsidR="00E82600" w:rsidRPr="00A15E1A" w:rsidRDefault="00E82600" w:rsidP="00E82600">
      <w:pPr>
        <w:tabs>
          <w:tab w:val="left" w:pos="-720"/>
        </w:tabs>
        <w:suppressAutoHyphens/>
        <w:ind w:firstLine="720"/>
        <w:jc w:val="both"/>
        <w:rPr>
          <w:rFonts w:ascii="CG Times" w:hAnsi="CG Times" w:cs="Arial"/>
          <w:b/>
          <w:spacing w:val="-3"/>
          <w:sz w:val="22"/>
          <w:szCs w:val="22"/>
          <w:lang w:val="sq-AL"/>
        </w:rPr>
      </w:pPr>
      <w:r w:rsidRPr="00A15E1A">
        <w:rPr>
          <w:rFonts w:ascii="CG Times" w:hAnsi="CG Times" w:cs="Arial"/>
          <w:b/>
          <w:spacing w:val="-3"/>
          <w:sz w:val="22"/>
          <w:szCs w:val="22"/>
          <w:lang w:val="sq-AL"/>
        </w:rPr>
        <w:t>Strasburg, 6.V.1963</w:t>
      </w:r>
    </w:p>
    <w:p w:rsidR="00E82600" w:rsidRPr="00A15E1A" w:rsidRDefault="00E82600" w:rsidP="00E82600">
      <w:pPr>
        <w:tabs>
          <w:tab w:val="left" w:pos="-720"/>
        </w:tabs>
        <w:suppressAutoHyphens/>
        <w:ind w:firstLine="720"/>
        <w:jc w:val="both"/>
        <w:rPr>
          <w:rFonts w:ascii="CG Times" w:hAnsi="CG Times" w:cs="Arial"/>
          <w:b/>
          <w:spacing w:val="-3"/>
          <w:sz w:val="22"/>
          <w:szCs w:val="22"/>
          <w:lang w:val="sq-AL"/>
        </w:rPr>
      </w:pPr>
    </w:p>
    <w:p w:rsidR="00E82600" w:rsidRPr="00A15E1A" w:rsidRDefault="00E82600" w:rsidP="00E82600">
      <w:pPr>
        <w:tabs>
          <w:tab w:val="left" w:pos="-720"/>
        </w:tabs>
        <w:suppressAutoHyphens/>
        <w:ind w:firstLine="720"/>
        <w:jc w:val="both"/>
        <w:rPr>
          <w:rFonts w:ascii="CG Times" w:hAnsi="CG Times" w:cs="Arial"/>
          <w:b/>
          <w:spacing w:val="-3"/>
          <w:sz w:val="22"/>
          <w:szCs w:val="22"/>
          <w:lang w:val="sq-AL"/>
        </w:rPr>
      </w:pPr>
      <w:r w:rsidRPr="00A15E1A">
        <w:rPr>
          <w:rFonts w:ascii="CG Times" w:hAnsi="CG Times" w:cs="Arial"/>
          <w:b/>
          <w:spacing w:val="-3"/>
          <w:sz w:val="22"/>
          <w:szCs w:val="22"/>
          <w:lang w:val="sq-AL"/>
        </w:rPr>
        <w:t xml:space="preserve">Teksti origjinal i Konventës është ndryshuar sipas tekstit të Protokollit Nr 3 (ETS nr 45) që ka hyrë në fuqi më 21 shtator 1970. Të gjitha dispozitat që ishin ndryshuar ose shtuar me këtë Protokoll janë zëvendësuar me Protokollin Nr 11 (ETS nr 155),  që nga data e hyrjes së tij në fuqi, 1 nëntor 1998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Shtetet Anëtare të Këshillit të Evropës, nënshkruese të këtij Protokolli; </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r w:rsidRPr="00A15E1A">
        <w:rPr>
          <w:rFonts w:ascii="CG Times" w:hAnsi="CG Times" w:cs="Arial"/>
          <w:spacing w:val="-2"/>
          <w:kern w:val="2"/>
          <w:sz w:val="22"/>
          <w:szCs w:val="22"/>
          <w:lang w:val="sq-AL"/>
        </w:rPr>
        <w:tab/>
      </w:r>
      <w:r w:rsidRPr="00A15E1A">
        <w:rPr>
          <w:rFonts w:ascii="CG Times" w:hAnsi="CG Times" w:cs="Arial"/>
          <w:spacing w:val="-2"/>
          <w:kern w:val="2"/>
          <w:sz w:val="22"/>
          <w:szCs w:val="22"/>
          <w:lang w:val="sq-AL"/>
        </w:rPr>
        <w:tab/>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konsideruar që është e këshillueshme të ndryshohen disa dispozita të Konventës për Mbrojtjen e të Drejtave të Njeriut dhe Lirive Themelore të nënshkruar në Romë më 4 nëntor 1950 (këtu quhet “Konventa”) në lidhje me procedurën e Komisionit Evropian për të Drejtat e Njeriut,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Kanë rënë dakord si më poshtë: </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p>
    <w:p w:rsidR="00E82600" w:rsidRPr="0043572B" w:rsidRDefault="00E82600" w:rsidP="00E82600">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43572B">
        <w:rPr>
          <w:rFonts w:ascii="CG Times" w:hAnsi="CG Times" w:cs="Arial"/>
          <w:spacing w:val="-2"/>
          <w:kern w:val="2"/>
          <w:sz w:val="22"/>
          <w:szCs w:val="22"/>
          <w:lang w:val="sq-AL"/>
        </w:rPr>
        <w:t>Neni 1</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Neni 29 i Konventës shfuqizohet.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2. </w:t>
      </w:r>
      <w:r w:rsidRPr="00A15E1A">
        <w:rPr>
          <w:rFonts w:ascii="CG Times" w:hAnsi="CG Times" w:cs="Arial"/>
          <w:spacing w:val="-2"/>
          <w:kern w:val="2"/>
          <w:sz w:val="22"/>
          <w:szCs w:val="22"/>
          <w:lang w:val="sq-AL"/>
        </w:rPr>
        <w:t xml:space="preserve">Dispozita e mëposhtme futet në Konventë: </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A15E1A">
        <w:rPr>
          <w:rFonts w:ascii="CG Times" w:hAnsi="CG Times" w:cs="Arial"/>
          <w:spacing w:val="-2"/>
          <w:kern w:val="2"/>
          <w:sz w:val="22"/>
          <w:szCs w:val="22"/>
          <w:lang w:val="sq-AL"/>
        </w:rPr>
        <w:t>“Neni 29</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Pas pranimit të një peticioni të paraqitur sipas Nenit 25, Komisioni mund të vendosë unanimisht ta refuzojë kërkesën, nëse gjatë shqyrtimit të saj ai vëren që është konstatuar ekzistenca e një prej shkaqeve për mospranimin të parashikuar në Nenin 27.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një rast të tillë, vendimi u komunikohet palëve.”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Pr="0043572B" w:rsidRDefault="00E82600" w:rsidP="00E82600">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43572B">
        <w:rPr>
          <w:rFonts w:ascii="CG Times" w:hAnsi="CG Times" w:cs="Arial"/>
          <w:spacing w:val="-2"/>
          <w:kern w:val="2"/>
          <w:sz w:val="22"/>
          <w:szCs w:val="22"/>
          <w:lang w:val="sq-AL"/>
        </w:rPr>
        <w:t>Neni 2</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8"/>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Në n</w:t>
      </w:r>
      <w:r w:rsidRPr="00A15E1A">
        <w:rPr>
          <w:rFonts w:ascii="CG Times" w:hAnsi="CG Times" w:cs="Arial"/>
          <w:spacing w:val="-2"/>
          <w:kern w:val="2"/>
          <w:sz w:val="22"/>
          <w:szCs w:val="22"/>
          <w:lang w:val="sq-AL"/>
        </w:rPr>
        <w:t xml:space="preserve">enin 30 të Konventës, fjalë “Nën-Komision” zëvendësohet nga fjala “Komision”.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Pr="0043572B" w:rsidRDefault="00E82600" w:rsidP="00E82600">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43572B">
        <w:rPr>
          <w:rFonts w:ascii="CG Times" w:hAnsi="CG Times" w:cs="Arial"/>
          <w:spacing w:val="-2"/>
          <w:kern w:val="2"/>
          <w:sz w:val="22"/>
          <w:szCs w:val="22"/>
          <w:lang w:val="sq-AL"/>
        </w:rPr>
        <w:t>Neni 3</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 fillim të Nenit 34 të Konventës, shtohet sa më poshtë: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 “Në pajtim me dispozitat e Nenit 29”</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Në fund të të njëjtit n</w:t>
      </w:r>
      <w:r w:rsidRPr="00A15E1A">
        <w:rPr>
          <w:rFonts w:ascii="CG Times" w:hAnsi="CG Times" w:cs="Arial"/>
          <w:spacing w:val="-2"/>
          <w:kern w:val="2"/>
          <w:sz w:val="22"/>
          <w:szCs w:val="22"/>
          <w:lang w:val="sq-AL"/>
        </w:rPr>
        <w:t xml:space="preserve">en, fjalia “Nën-Komisioni i merr vendimet me një shumicë të anëtarëve të tij” shfuqizohet. </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16"/>
          <w:szCs w:val="22"/>
          <w:lang w:val="sq-AL"/>
        </w:rPr>
      </w:pPr>
    </w:p>
    <w:p w:rsidR="00E82600" w:rsidRDefault="00E82600" w:rsidP="00E82600">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22"/>
          <w:szCs w:val="22"/>
          <w:lang w:val="sq-AL"/>
        </w:rPr>
      </w:pPr>
      <w:r w:rsidRPr="0043572B">
        <w:rPr>
          <w:rFonts w:ascii="CG Times" w:hAnsi="CG Times" w:cs="Arial"/>
          <w:spacing w:val="-2"/>
          <w:kern w:val="2"/>
          <w:sz w:val="22"/>
          <w:szCs w:val="22"/>
          <w:lang w:val="sq-AL"/>
        </w:rPr>
        <w:t>Neni 4</w:t>
      </w:r>
    </w:p>
    <w:p w:rsidR="00E82600" w:rsidRPr="00AF70EF" w:rsidRDefault="00E82600" w:rsidP="00E82600">
      <w:pPr>
        <w:tabs>
          <w:tab w:val="left" w:pos="-720"/>
          <w:tab w:val="left" w:pos="0"/>
          <w:tab w:val="left" w:pos="432"/>
          <w:tab w:val="left" w:pos="864"/>
          <w:tab w:val="left" w:pos="1296"/>
          <w:tab w:val="left" w:pos="1728"/>
          <w:tab w:val="left" w:pos="2160"/>
        </w:tabs>
        <w:suppressAutoHyphens/>
        <w:ind w:firstLine="720"/>
        <w:jc w:val="center"/>
        <w:rPr>
          <w:rFonts w:ascii="CG Times" w:hAnsi="CG Times" w:cs="Arial"/>
          <w:spacing w:val="-2"/>
          <w:kern w:val="2"/>
          <w:sz w:val="16"/>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Ky Protokoll është i hapur për nënshkrim nga Shtetet Anëtare të Këshillit të Evropës nënshkruese të Konventës, që mund të bëhen palë të tij nëpërmjet: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a) </w:t>
      </w:r>
      <w:r w:rsidRPr="00A15E1A">
        <w:rPr>
          <w:rFonts w:ascii="CG Times" w:hAnsi="CG Times" w:cs="Arial"/>
          <w:spacing w:val="-2"/>
          <w:kern w:val="2"/>
          <w:sz w:val="22"/>
          <w:szCs w:val="22"/>
          <w:lang w:val="sq-AL"/>
        </w:rPr>
        <w:t xml:space="preserve">nënshkrimit pa rezervën e ratifikimit, ose pranimit, ose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w:t>
      </w:r>
      <w:r w:rsidRPr="00A15E1A">
        <w:rPr>
          <w:rFonts w:ascii="CG Times" w:hAnsi="CG Times" w:cs="Arial"/>
          <w:spacing w:val="-2"/>
          <w:kern w:val="2"/>
          <w:sz w:val="22"/>
          <w:szCs w:val="22"/>
          <w:lang w:val="sq-AL"/>
        </w:rPr>
        <w:t xml:space="preserve"> nënshkrimit me rezervën e ratifikimit apo pranimit, të pasuar nga ratifikimi ose pranimi.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Instrumentet e ratifikimit ose pranimit depozitohen tek Sekretari i Përgjithshëm i Këshillit të Evropës. </w:t>
      </w:r>
    </w:p>
    <w:p w:rsidR="00E82600"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Ky Protokoll hyn në fuqi pasi të gjithë Shtetet Palë në Konventë të jenë bërë Palë në Protokoll, në pajtim me dispozitat e paragrafit 1 të këtij Neni.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3</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Sekretari i Përgjithshëm i Këshillit të Evropës njofton Shtetet Anëtare të Këshillit për: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çdo nënshkrim pa rezervën e ratifikimit ose pranimit;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çdo nënshkrim me rezervën e ratifikimit ose pranimit;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c</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depozitimin e çdo instrumenti ratifikimi ose pranimi;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d</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datën e hyrjes në fuqi të këtij Protokolli në pajtim me paragrafin 2 të këtij Neni.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Default="00E82600" w:rsidP="00E82600">
      <w:pPr>
        <w:ind w:firstLine="720"/>
        <w:jc w:val="both"/>
        <w:rPr>
          <w:rFonts w:ascii="CG Times" w:hAnsi="CG Times" w:cs="Arial"/>
          <w:color w:val="000000"/>
          <w:sz w:val="22"/>
          <w:szCs w:val="22"/>
          <w:lang w:val="sq-AL"/>
        </w:rPr>
      </w:pPr>
      <w:r w:rsidRPr="00A15E1A">
        <w:rPr>
          <w:rFonts w:ascii="CG Times" w:hAnsi="CG Times" w:cs="Arial"/>
          <w:color w:val="000000"/>
          <w:sz w:val="22"/>
          <w:szCs w:val="22"/>
          <w:lang w:val="sq-AL"/>
        </w:rPr>
        <w:t xml:space="preserve">Si dëshmi të kësaj, të nënshkruarit, duke qenë rregullisht të autorizuar, kanë nënshkruar këtë Protokoll. </w:t>
      </w:r>
    </w:p>
    <w:p w:rsidR="00E82600" w:rsidRPr="00A15E1A" w:rsidRDefault="00E82600" w:rsidP="00E82600">
      <w:pPr>
        <w:ind w:firstLine="720"/>
        <w:jc w:val="both"/>
        <w:rPr>
          <w:rFonts w:ascii="CG Times" w:hAnsi="CG Times" w:cs="Arial"/>
          <w:color w:val="000000"/>
          <w:sz w:val="22"/>
          <w:szCs w:val="22"/>
          <w:lang w:val="sq-AL"/>
        </w:rPr>
      </w:pPr>
    </w:p>
    <w:p w:rsidR="00E82600" w:rsidRPr="00A15E1A" w:rsidRDefault="00E82600" w:rsidP="00E82600">
      <w:pPr>
        <w:ind w:firstLine="720"/>
        <w:jc w:val="both"/>
        <w:rPr>
          <w:rFonts w:ascii="CG Times" w:hAnsi="CG Times" w:cs="Arial"/>
          <w:color w:val="000000"/>
          <w:sz w:val="22"/>
          <w:szCs w:val="22"/>
          <w:lang w:val="sq-AL"/>
        </w:rPr>
      </w:pPr>
      <w:r w:rsidRPr="00A15E1A">
        <w:rPr>
          <w:rFonts w:ascii="CG Times" w:hAnsi="CG Times" w:cs="Arial"/>
          <w:color w:val="000000"/>
          <w:sz w:val="22"/>
          <w:szCs w:val="22"/>
          <w:lang w:val="sq-AL"/>
        </w:rPr>
        <w:t xml:space="preserve">Bërë bë Strasburg, më 6 maj 1963 në anglisht dhe frëngjisht, ku të dy tekstet janë njëlloj autentikë, në një kopje të vetme që depozitohet në arkivat e Këshillit të Evropës. Sekretari i Përgjithshëm i Këshillit të Evropës i dërgon kopje të njësuara me origjinalin secilit Shteti nënshkrues. </w:t>
      </w:r>
    </w:p>
    <w:p w:rsidR="00E82600" w:rsidRPr="00A15E1A" w:rsidRDefault="00E82600" w:rsidP="00E82600">
      <w:pPr>
        <w:tabs>
          <w:tab w:val="left" w:pos="-720"/>
          <w:tab w:val="left" w:pos="0"/>
          <w:tab w:val="left" w:pos="432"/>
          <w:tab w:val="left" w:pos="864"/>
          <w:tab w:val="left" w:pos="1296"/>
          <w:tab w:val="left" w:pos="1728"/>
          <w:tab w:val="left" w:pos="2160"/>
        </w:tabs>
        <w:suppressAutoHyphens/>
        <w:ind w:firstLine="720"/>
        <w:jc w:val="both"/>
        <w:rPr>
          <w:rFonts w:ascii="CG Times" w:hAnsi="CG Times" w:cs="Arial"/>
          <w:spacing w:val="-2"/>
          <w:kern w:val="2"/>
          <w:sz w:val="22"/>
          <w:szCs w:val="22"/>
          <w:lang w:val="sq-AL"/>
        </w:rPr>
      </w:pPr>
    </w:p>
    <w:p w:rsidR="00E82600" w:rsidRPr="00A15E1A" w:rsidRDefault="00E82600" w:rsidP="00E82600">
      <w:pPr>
        <w:pStyle w:val="BodyTextIndent3"/>
        <w:tabs>
          <w:tab w:val="left" w:pos="360"/>
        </w:tabs>
        <w:ind w:left="0" w:firstLine="720"/>
        <w:rPr>
          <w:rFonts w:ascii="CG Times" w:hAnsi="CG Times" w:cs="Arial"/>
          <w:sz w:val="22"/>
          <w:szCs w:val="22"/>
          <w:lang w:val="sq-AL"/>
        </w:rPr>
      </w:pPr>
    </w:p>
    <w:p w:rsidR="00E82600" w:rsidRPr="00A15E1A" w:rsidRDefault="00E82600" w:rsidP="00E82600">
      <w:pPr>
        <w:pStyle w:val="BodyTextIndent3"/>
        <w:tabs>
          <w:tab w:val="left" w:pos="360"/>
        </w:tabs>
        <w:ind w:left="0" w:firstLine="720"/>
        <w:rPr>
          <w:rFonts w:ascii="CG Times" w:hAnsi="CG Times" w:cs="Arial"/>
          <w:sz w:val="22"/>
          <w:szCs w:val="22"/>
          <w:lang w:val="sq-AL"/>
        </w:rPr>
      </w:pPr>
    </w:p>
    <w:p w:rsidR="00E82600" w:rsidRPr="00A15E1A" w:rsidRDefault="00E82600" w:rsidP="00E82600">
      <w:pPr>
        <w:pStyle w:val="BodyTextIndent3"/>
        <w:tabs>
          <w:tab w:val="left" w:pos="360"/>
        </w:tabs>
        <w:ind w:left="0" w:firstLine="720"/>
        <w:rPr>
          <w:rFonts w:ascii="CG Times" w:hAnsi="CG Times" w:cs="Arial"/>
          <w:sz w:val="22"/>
          <w:szCs w:val="22"/>
          <w:lang w:val="sq-AL"/>
        </w:rPr>
      </w:pPr>
    </w:p>
    <w:p w:rsidR="00E82600" w:rsidRPr="00A15E1A" w:rsidRDefault="00E82600" w:rsidP="00E82600">
      <w:pPr>
        <w:pStyle w:val="BodyTextIndent3"/>
        <w:tabs>
          <w:tab w:val="left" w:pos="360"/>
        </w:tabs>
        <w:ind w:left="0" w:firstLine="720"/>
        <w:rPr>
          <w:rFonts w:ascii="CG Times" w:hAnsi="CG Times" w:cs="Arial"/>
          <w:sz w:val="22"/>
          <w:szCs w:val="22"/>
          <w:lang w:val="sq-AL"/>
        </w:rPr>
      </w:pPr>
    </w:p>
    <w:p w:rsidR="00E82600" w:rsidRDefault="00E82600" w:rsidP="00E82600">
      <w:pPr>
        <w:pStyle w:val="BodyTextIndent3"/>
        <w:tabs>
          <w:tab w:val="left" w:pos="2340"/>
        </w:tabs>
        <w:ind w:left="0" w:firstLine="0"/>
        <w:jc w:val="center"/>
        <w:rPr>
          <w:rFonts w:ascii="CG Times" w:hAnsi="CG Times" w:cs="Arial"/>
          <w:sz w:val="22"/>
          <w:szCs w:val="22"/>
          <w:lang w:val="sq-AL"/>
        </w:rPr>
      </w:pPr>
    </w:p>
    <w:p w:rsidR="00E82600" w:rsidRDefault="00E82600" w:rsidP="00E82600">
      <w:pPr>
        <w:pStyle w:val="BodyTextIndent3"/>
        <w:tabs>
          <w:tab w:val="left" w:pos="2340"/>
        </w:tabs>
        <w:ind w:left="0" w:firstLine="0"/>
        <w:jc w:val="center"/>
        <w:rPr>
          <w:rFonts w:ascii="CG Times" w:hAnsi="CG Times" w:cs="Arial"/>
          <w:sz w:val="22"/>
          <w:szCs w:val="22"/>
          <w:lang w:val="sq-AL"/>
        </w:rPr>
      </w:pPr>
    </w:p>
    <w:p w:rsidR="00E82600" w:rsidRDefault="00E82600" w:rsidP="00E82600">
      <w:pPr>
        <w:pStyle w:val="BodyTextIndent3"/>
        <w:tabs>
          <w:tab w:val="left" w:pos="2340"/>
        </w:tabs>
        <w:ind w:left="0" w:firstLine="0"/>
        <w:jc w:val="center"/>
        <w:rPr>
          <w:rFonts w:ascii="CG Times" w:hAnsi="CG Times" w:cs="Arial"/>
          <w:sz w:val="22"/>
          <w:szCs w:val="22"/>
          <w:lang w:val="sq-AL"/>
        </w:rPr>
      </w:pPr>
    </w:p>
    <w:p w:rsidR="00E82600" w:rsidRDefault="00E82600" w:rsidP="00E82600">
      <w:pPr>
        <w:pStyle w:val="BodyTextIndent3"/>
        <w:tabs>
          <w:tab w:val="left" w:pos="2340"/>
        </w:tabs>
        <w:ind w:left="0" w:firstLine="0"/>
        <w:jc w:val="center"/>
        <w:rPr>
          <w:rFonts w:ascii="CG Times" w:hAnsi="CG Times" w:cs="Arial"/>
          <w:sz w:val="22"/>
          <w:szCs w:val="22"/>
          <w:lang w:val="sq-AL"/>
        </w:rPr>
      </w:pPr>
    </w:p>
    <w:p w:rsidR="00E82600" w:rsidRDefault="00E82600" w:rsidP="00E82600">
      <w:pPr>
        <w:pStyle w:val="BodyTextIndent3"/>
        <w:tabs>
          <w:tab w:val="left" w:pos="2340"/>
        </w:tabs>
        <w:ind w:left="0" w:firstLine="0"/>
        <w:jc w:val="center"/>
        <w:rPr>
          <w:rFonts w:ascii="CG Times" w:hAnsi="CG Times" w:cs="Arial"/>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600"/>
    <w:rsid w:val="009B538E"/>
    <w:rsid w:val="00E82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C12CF-830D-45A7-BEF6-68A9A8469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60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E82600"/>
    <w:pPr>
      <w:ind w:left="720" w:hanging="720"/>
    </w:pPr>
    <w:rPr>
      <w:rFonts w:eastAsia="MS Mincho"/>
      <w:b/>
      <w:sz w:val="20"/>
      <w:szCs w:val="20"/>
      <w:lang w:val="en-US"/>
    </w:rPr>
  </w:style>
  <w:style w:type="character" w:customStyle="1" w:styleId="BodyTextIndent3Char">
    <w:name w:val="Body Text Indent 3 Char"/>
    <w:basedOn w:val="DefaultParagraphFont"/>
    <w:link w:val="BodyTextIndent3"/>
    <w:rsid w:val="00E82600"/>
    <w:rPr>
      <w:rFonts w:ascii="Times New Roman" w:eastAsia="MS Mincho"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2494</Characters>
  <Application>Microsoft Office Word</Application>
  <DocSecurity>0</DocSecurity>
  <Lines>20</Lines>
  <Paragraphs>5</Paragraphs>
  <ScaleCrop>false</ScaleCrop>
  <Company>AKSHI</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2024-05-15T10:04:00Z</dcterms:created>
  <dcterms:modified xsi:type="dcterms:W3CDTF">2024-05-15T10:04:00Z</dcterms:modified>
</cp:coreProperties>
</file>