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662F" w:rsidRPr="00A15E1A" w:rsidRDefault="00E3662F" w:rsidP="00E3662F">
      <w:pPr>
        <w:tabs>
          <w:tab w:val="left" w:pos="-720"/>
        </w:tabs>
        <w:suppressAutoHyphens/>
        <w:jc w:val="center"/>
        <w:rPr>
          <w:rFonts w:ascii="CG Times" w:hAnsi="CG Times" w:cs="Arial"/>
          <w:b/>
          <w:caps/>
          <w:spacing w:val="-3"/>
          <w:sz w:val="22"/>
          <w:szCs w:val="22"/>
          <w:lang w:val="sq-AL"/>
        </w:rPr>
      </w:pPr>
      <w:r w:rsidRPr="00A15E1A">
        <w:rPr>
          <w:rFonts w:ascii="CG Times" w:hAnsi="CG Times" w:cs="Arial"/>
          <w:b/>
          <w:caps/>
          <w:spacing w:val="-3"/>
          <w:sz w:val="22"/>
          <w:szCs w:val="22"/>
          <w:lang w:val="sq-AL"/>
        </w:rPr>
        <w:t>Protokolli Nr. 5</w:t>
      </w:r>
    </w:p>
    <w:p w:rsidR="00E3662F" w:rsidRPr="00A15E1A" w:rsidRDefault="00E3662F" w:rsidP="00E3662F">
      <w:pPr>
        <w:tabs>
          <w:tab w:val="left" w:pos="-720"/>
        </w:tabs>
        <w:suppressAutoHyphens/>
        <w:jc w:val="center"/>
        <w:rPr>
          <w:rFonts w:ascii="CG Times" w:hAnsi="CG Times" w:cs="Arial"/>
          <w:b/>
          <w:caps/>
          <w:spacing w:val="-3"/>
          <w:sz w:val="22"/>
          <w:szCs w:val="22"/>
          <w:lang w:val="sq-AL"/>
        </w:rPr>
      </w:pPr>
      <w:r w:rsidRPr="00A15E1A">
        <w:rPr>
          <w:rFonts w:ascii="CG Times" w:hAnsi="CG Times" w:cs="Arial"/>
          <w:b/>
          <w:caps/>
          <w:spacing w:val="-3"/>
          <w:sz w:val="22"/>
          <w:szCs w:val="22"/>
          <w:lang w:val="sq-AL"/>
        </w:rPr>
        <w:t>i Konventës për Mbrojtjen e të Drejtave të Njeriut</w:t>
      </w:r>
    </w:p>
    <w:p w:rsidR="00E3662F" w:rsidRPr="00A15E1A" w:rsidRDefault="00E3662F" w:rsidP="00E3662F">
      <w:pPr>
        <w:tabs>
          <w:tab w:val="left" w:pos="-720"/>
        </w:tabs>
        <w:suppressAutoHyphens/>
        <w:jc w:val="center"/>
        <w:rPr>
          <w:rFonts w:ascii="CG Times" w:hAnsi="CG Times" w:cs="Arial"/>
          <w:b/>
          <w:caps/>
          <w:spacing w:val="-3"/>
          <w:sz w:val="22"/>
          <w:szCs w:val="22"/>
          <w:lang w:val="sq-AL"/>
        </w:rPr>
      </w:pPr>
      <w:r w:rsidRPr="00A15E1A">
        <w:rPr>
          <w:rFonts w:ascii="CG Times" w:hAnsi="CG Times" w:cs="Arial"/>
          <w:b/>
          <w:caps/>
          <w:spacing w:val="-3"/>
          <w:sz w:val="22"/>
          <w:szCs w:val="22"/>
          <w:lang w:val="sq-AL"/>
        </w:rPr>
        <w:t xml:space="preserve">dhe Lirive Themelore, që ndryshon Nenet 22 dhe 40 </w:t>
      </w:r>
      <w:r>
        <w:rPr>
          <w:rFonts w:ascii="CG Times" w:hAnsi="CG Times" w:cs="Arial"/>
          <w:b/>
          <w:caps/>
          <w:spacing w:val="-3"/>
          <w:sz w:val="22"/>
          <w:szCs w:val="22"/>
          <w:lang w:val="sq-AL"/>
        </w:rPr>
        <w:t xml:space="preserve"> </w:t>
      </w:r>
      <w:r w:rsidRPr="00A15E1A">
        <w:rPr>
          <w:rFonts w:ascii="CG Times" w:hAnsi="CG Times" w:cs="Arial"/>
          <w:b/>
          <w:caps/>
          <w:spacing w:val="-3"/>
          <w:sz w:val="22"/>
          <w:szCs w:val="22"/>
          <w:lang w:val="sq-AL"/>
        </w:rPr>
        <w:t>të Konventës</w:t>
      </w:r>
    </w:p>
    <w:p w:rsidR="00E3662F" w:rsidRPr="00A15E1A" w:rsidRDefault="00E3662F" w:rsidP="00E3662F">
      <w:pPr>
        <w:tabs>
          <w:tab w:val="left" w:pos="-720"/>
        </w:tabs>
        <w:suppressAutoHyphens/>
        <w:spacing w:line="312" w:lineRule="auto"/>
        <w:ind w:firstLine="720"/>
        <w:jc w:val="both"/>
        <w:rPr>
          <w:rFonts w:ascii="CG Times" w:hAnsi="CG Times" w:cs="Arial"/>
          <w:b/>
          <w:spacing w:val="-3"/>
          <w:sz w:val="22"/>
          <w:szCs w:val="22"/>
          <w:lang w:val="sq-AL"/>
        </w:rPr>
      </w:pPr>
    </w:p>
    <w:p w:rsidR="00E3662F" w:rsidRPr="00A15E1A" w:rsidRDefault="00E3662F" w:rsidP="00E3662F">
      <w:pPr>
        <w:tabs>
          <w:tab w:val="left" w:pos="-720"/>
        </w:tabs>
        <w:suppressAutoHyphens/>
        <w:ind w:firstLine="720"/>
        <w:jc w:val="both"/>
        <w:rPr>
          <w:rFonts w:ascii="CG Times" w:hAnsi="CG Times" w:cs="Arial"/>
          <w:b/>
          <w:spacing w:val="-3"/>
          <w:sz w:val="22"/>
          <w:szCs w:val="22"/>
          <w:lang w:val="sq-AL"/>
        </w:rPr>
      </w:pPr>
      <w:r w:rsidRPr="00A15E1A">
        <w:rPr>
          <w:rFonts w:ascii="CG Times" w:hAnsi="CG Times" w:cs="Arial"/>
          <w:b/>
          <w:spacing w:val="-3"/>
          <w:sz w:val="22"/>
          <w:szCs w:val="22"/>
          <w:lang w:val="sq-AL"/>
        </w:rPr>
        <w:t xml:space="preserve">Strasburg, 20.I.1966 </w:t>
      </w:r>
    </w:p>
    <w:p w:rsidR="00E3662F" w:rsidRDefault="00E3662F" w:rsidP="00E3662F">
      <w:pPr>
        <w:tabs>
          <w:tab w:val="left" w:pos="-720"/>
        </w:tabs>
        <w:suppressAutoHyphens/>
        <w:ind w:firstLine="720"/>
        <w:jc w:val="both"/>
        <w:rPr>
          <w:rFonts w:ascii="CG Times" w:hAnsi="CG Times" w:cs="Arial"/>
          <w:b/>
          <w:spacing w:val="-3"/>
          <w:sz w:val="22"/>
          <w:szCs w:val="22"/>
          <w:lang w:val="sq-AL"/>
        </w:rPr>
      </w:pPr>
    </w:p>
    <w:p w:rsidR="00E3662F" w:rsidRPr="00A15E1A" w:rsidRDefault="00E3662F" w:rsidP="00E3662F">
      <w:pPr>
        <w:tabs>
          <w:tab w:val="left" w:pos="-720"/>
        </w:tabs>
        <w:suppressAutoHyphens/>
        <w:ind w:firstLine="720"/>
        <w:jc w:val="both"/>
        <w:rPr>
          <w:rFonts w:ascii="CG Times" w:hAnsi="CG Times" w:cs="Arial"/>
          <w:b/>
          <w:spacing w:val="-3"/>
          <w:sz w:val="22"/>
          <w:szCs w:val="22"/>
          <w:lang w:val="sq-AL"/>
        </w:rPr>
      </w:pPr>
      <w:r w:rsidRPr="00A15E1A">
        <w:rPr>
          <w:rFonts w:ascii="CG Times" w:hAnsi="CG Times" w:cs="Arial"/>
          <w:b/>
          <w:spacing w:val="-3"/>
          <w:sz w:val="22"/>
          <w:szCs w:val="22"/>
          <w:lang w:val="sq-AL"/>
        </w:rPr>
        <w:t xml:space="preserve">Teksti origjinal i Konventës është ndryshuar sipas tekstit të Protokollit Nr 5 (ETS nr 45) që ka hyrë në fuqi më 21 shtator 1970. Të gjitha dispozitat që ishin ndryshuar ose shtuar me këtë Protokoll janë zëvendësuar me Protokollin Nr 11 (ETS nr 155),  që nga data e hyrjes së tij në fuqi, 1 nëntor 1998 </w:t>
      </w:r>
    </w:p>
    <w:p w:rsidR="00E3662F" w:rsidRDefault="00E3662F" w:rsidP="00E3662F">
      <w:pPr>
        <w:tabs>
          <w:tab w:val="left" w:pos="-720"/>
          <w:tab w:val="left" w:pos="0"/>
          <w:tab w:val="left" w:pos="432"/>
          <w:tab w:val="left" w:pos="864"/>
          <w:tab w:val="left" w:pos="1296"/>
          <w:tab w:val="left" w:pos="1728"/>
          <w:tab w:val="left" w:pos="2160"/>
        </w:tabs>
        <w:suppressAutoHyphens/>
        <w:spacing w:line="312" w:lineRule="auto"/>
        <w:ind w:firstLine="720"/>
        <w:jc w:val="both"/>
        <w:rPr>
          <w:rFonts w:ascii="CG Times" w:hAnsi="CG Times" w:cs="Arial"/>
          <w:spacing w:val="-2"/>
          <w:kern w:val="2"/>
          <w:sz w:val="22"/>
          <w:szCs w:val="22"/>
          <w:lang w:val="sq-AL"/>
        </w:rPr>
      </w:pP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Qeveritë nënshkruese, duke qenë anëtare të Këshillit të Evropës;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Duke konsideruar që disa vështirësi kanë dalë gjatë zbatimit të dispozitave të Neneve 22 dhe 40 të Konventës për Mbrojtjen e të Drejtave të Njeriut dhe Lirive Themelore të nënshkruar në Romë më 4 nëntor 1950 (këtu quhet “Konventa”) në lidhje me kohëzgjatjen e mandatit të anëtarëve të Komisionit Evropian për të Drejtat e Njeriut (këtu të quajtur “Komisioni”) dhe Gjykatës Evropiane për të Drejtat e Njeriut (këtu quhet “Gjykata”);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Duke konsideruar që është e dëshirueshme në masën që është e mundur një zgjedhje në çdo tre vjet e gjysmës së anëtarëve të Komisionit dhe të një të tretës së anëtarëve të Gjykatës;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Duke konsideruar se është e dëshirueshme të ndryshohen dispozita të caktuara të Konventës;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Kanë ranë dakord si më poshtë: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3662F" w:rsidRPr="000A7A3E" w:rsidRDefault="00E3662F" w:rsidP="00E3662F">
      <w:pPr>
        <w:tabs>
          <w:tab w:val="left" w:pos="-720"/>
          <w:tab w:val="left" w:pos="0"/>
          <w:tab w:val="left" w:pos="432"/>
          <w:tab w:val="left" w:pos="864"/>
          <w:tab w:val="left" w:pos="1296"/>
          <w:tab w:val="left" w:pos="1728"/>
          <w:tab w:val="left" w:pos="2160"/>
        </w:tabs>
        <w:suppressAutoHyphens/>
        <w:ind w:firstLine="720"/>
        <w:jc w:val="center"/>
        <w:rPr>
          <w:rFonts w:ascii="CG Times" w:hAnsi="CG Times" w:cs="Arial"/>
          <w:spacing w:val="-2"/>
          <w:kern w:val="2"/>
          <w:sz w:val="22"/>
          <w:szCs w:val="22"/>
          <w:lang w:val="sq-AL"/>
        </w:rPr>
      </w:pPr>
      <w:r w:rsidRPr="000A7A3E">
        <w:rPr>
          <w:rFonts w:ascii="CG Times" w:hAnsi="CG Times" w:cs="Arial"/>
          <w:spacing w:val="-2"/>
          <w:kern w:val="2"/>
          <w:sz w:val="22"/>
          <w:szCs w:val="22"/>
          <w:lang w:val="sq-AL"/>
        </w:rPr>
        <w:t>Neni 1</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Pr>
          <w:rFonts w:ascii="CG Times" w:hAnsi="CG Times" w:cs="Arial"/>
          <w:spacing w:val="-2"/>
          <w:kern w:val="2"/>
          <w:sz w:val="22"/>
          <w:szCs w:val="22"/>
          <w:lang w:val="sq-AL"/>
        </w:rPr>
        <w:t>Në n</w:t>
      </w:r>
      <w:r w:rsidRPr="00A15E1A">
        <w:rPr>
          <w:rFonts w:ascii="CG Times" w:hAnsi="CG Times" w:cs="Arial"/>
          <w:spacing w:val="-2"/>
          <w:kern w:val="2"/>
          <w:sz w:val="22"/>
          <w:szCs w:val="22"/>
          <w:lang w:val="sq-AL"/>
        </w:rPr>
        <w:t xml:space="preserve">enin 22 të Konventës, dy paragrafët e mëposhtëm shtohen pas paragrafit 2: </w:t>
      </w:r>
    </w:p>
    <w:p w:rsidR="00E3662F"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Pr>
          <w:rFonts w:ascii="CG Times" w:hAnsi="CG Times" w:cs="Arial"/>
          <w:spacing w:val="-2"/>
          <w:kern w:val="2"/>
          <w:sz w:val="22"/>
          <w:szCs w:val="22"/>
          <w:lang w:val="sq-AL"/>
        </w:rPr>
        <w:t xml:space="preserve">“3. </w:t>
      </w:r>
      <w:r w:rsidRPr="00A15E1A">
        <w:rPr>
          <w:rFonts w:ascii="CG Times" w:hAnsi="CG Times" w:cs="Arial"/>
          <w:spacing w:val="-2"/>
          <w:kern w:val="2"/>
          <w:sz w:val="22"/>
          <w:szCs w:val="22"/>
          <w:lang w:val="sq-AL"/>
        </w:rPr>
        <w:t xml:space="preserve">Për të siguruar që gjysma e anëtarëve të Komisionit të rinovohet çdo tre vjet, Komiteti i Ministrave mund të vendosë para vazhdimit me zgjedhjen pasuese, që mandati ose mandatet e një ose më shumë anëtarëve që do të zgjidhen të jenë për një periudhë të ndryshme nga gjashtë vjet por jo më shumë se nëntë dhe jo më pak se tre vjet.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4</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Në rastet kur bëhet fjalë për më shumë se një mandat dhe Komiteti i Ministrave zbaton paragrafin e mësipërm, caktimi i mandateve realizohet duke u tërhequr shorti nga Sekretari i Përgjithshëm, menjëherë pas zgjedhjes.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3662F" w:rsidRPr="000A7A3E" w:rsidRDefault="00E3662F" w:rsidP="00E3662F">
      <w:pPr>
        <w:tabs>
          <w:tab w:val="left" w:pos="-720"/>
          <w:tab w:val="left" w:pos="0"/>
          <w:tab w:val="left" w:pos="432"/>
          <w:tab w:val="left" w:pos="864"/>
          <w:tab w:val="left" w:pos="1296"/>
          <w:tab w:val="left" w:pos="1728"/>
          <w:tab w:val="left" w:pos="2160"/>
        </w:tabs>
        <w:suppressAutoHyphens/>
        <w:ind w:firstLine="720"/>
        <w:jc w:val="center"/>
        <w:rPr>
          <w:rFonts w:ascii="CG Times" w:hAnsi="CG Times" w:cs="Arial"/>
          <w:spacing w:val="-2"/>
          <w:kern w:val="2"/>
          <w:sz w:val="22"/>
          <w:szCs w:val="22"/>
          <w:lang w:val="sq-AL"/>
        </w:rPr>
      </w:pPr>
      <w:r w:rsidRPr="000A7A3E">
        <w:rPr>
          <w:rFonts w:ascii="CG Times" w:hAnsi="CG Times" w:cs="Arial"/>
          <w:spacing w:val="-2"/>
          <w:kern w:val="2"/>
          <w:sz w:val="22"/>
          <w:szCs w:val="22"/>
          <w:lang w:val="sq-AL"/>
        </w:rPr>
        <w:t>Neni  2</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Në Nenin 22 të Konventës, ish-paragrafët 3 dhe 4 bëhen p</w:t>
      </w:r>
      <w:r>
        <w:rPr>
          <w:rFonts w:ascii="CG Times" w:hAnsi="CG Times" w:cs="Arial"/>
          <w:spacing w:val="-2"/>
          <w:kern w:val="2"/>
          <w:sz w:val="22"/>
          <w:szCs w:val="22"/>
          <w:lang w:val="sq-AL"/>
        </w:rPr>
        <w:t>ërkatësisht paragrafët 5 dhe 6</w:t>
      </w:r>
    </w:p>
    <w:p w:rsidR="00E3662F" w:rsidRPr="00A15E1A" w:rsidRDefault="00E3662F" w:rsidP="00E3662F">
      <w:pPr>
        <w:tabs>
          <w:tab w:val="left" w:pos="-720"/>
          <w:tab w:val="left" w:pos="0"/>
          <w:tab w:val="left" w:pos="432"/>
          <w:tab w:val="left" w:pos="864"/>
          <w:tab w:val="left" w:pos="1296"/>
          <w:tab w:val="left" w:pos="1728"/>
          <w:tab w:val="left" w:pos="2160"/>
        </w:tabs>
        <w:suppressAutoHyphens/>
        <w:jc w:val="both"/>
        <w:rPr>
          <w:rFonts w:ascii="CG Times" w:hAnsi="CG Times" w:cs="Arial"/>
          <w:b/>
          <w:spacing w:val="-2"/>
          <w:kern w:val="2"/>
          <w:sz w:val="22"/>
          <w:szCs w:val="22"/>
          <w:lang w:val="sq-AL"/>
        </w:rPr>
      </w:pPr>
    </w:p>
    <w:p w:rsidR="00E3662F" w:rsidRDefault="00E3662F" w:rsidP="00E3662F">
      <w:pPr>
        <w:tabs>
          <w:tab w:val="left" w:pos="-720"/>
          <w:tab w:val="left" w:pos="0"/>
          <w:tab w:val="left" w:pos="432"/>
          <w:tab w:val="left" w:pos="864"/>
          <w:tab w:val="left" w:pos="1296"/>
          <w:tab w:val="left" w:pos="1728"/>
          <w:tab w:val="left" w:pos="2160"/>
        </w:tabs>
        <w:suppressAutoHyphens/>
        <w:ind w:firstLine="720"/>
        <w:jc w:val="center"/>
        <w:rPr>
          <w:rFonts w:ascii="CG Times" w:hAnsi="CG Times" w:cs="Arial"/>
          <w:spacing w:val="-2"/>
          <w:kern w:val="2"/>
          <w:sz w:val="22"/>
          <w:szCs w:val="22"/>
          <w:lang w:val="sq-AL"/>
        </w:rPr>
      </w:pPr>
      <w:r w:rsidRPr="000A7A3E">
        <w:rPr>
          <w:rFonts w:ascii="CG Times" w:hAnsi="CG Times" w:cs="Arial"/>
          <w:spacing w:val="-2"/>
          <w:kern w:val="2"/>
          <w:sz w:val="22"/>
          <w:szCs w:val="22"/>
          <w:lang w:val="sq-AL"/>
        </w:rPr>
        <w:t>Neni 3</w:t>
      </w:r>
    </w:p>
    <w:p w:rsidR="00E3662F" w:rsidRPr="000A7A3E" w:rsidRDefault="00E3662F" w:rsidP="00E3662F">
      <w:pPr>
        <w:tabs>
          <w:tab w:val="left" w:pos="-720"/>
          <w:tab w:val="left" w:pos="0"/>
          <w:tab w:val="left" w:pos="432"/>
          <w:tab w:val="left" w:pos="864"/>
          <w:tab w:val="left" w:pos="1296"/>
          <w:tab w:val="left" w:pos="1728"/>
          <w:tab w:val="left" w:pos="2160"/>
        </w:tabs>
        <w:suppressAutoHyphens/>
        <w:ind w:firstLine="720"/>
        <w:jc w:val="center"/>
        <w:rPr>
          <w:rFonts w:ascii="CG Times" w:hAnsi="CG Times" w:cs="Arial"/>
          <w:spacing w:val="-2"/>
          <w:kern w:val="2"/>
          <w:sz w:val="22"/>
          <w:szCs w:val="22"/>
          <w:lang w:val="sq-AL"/>
        </w:rPr>
      </w:pP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Pr>
          <w:rFonts w:ascii="CG Times" w:hAnsi="CG Times" w:cs="Arial"/>
          <w:spacing w:val="-2"/>
          <w:kern w:val="2"/>
          <w:sz w:val="22"/>
          <w:szCs w:val="22"/>
          <w:lang w:val="sq-AL"/>
        </w:rPr>
        <w:t>Në n</w:t>
      </w:r>
      <w:r w:rsidRPr="00A15E1A">
        <w:rPr>
          <w:rFonts w:ascii="CG Times" w:hAnsi="CG Times" w:cs="Arial"/>
          <w:spacing w:val="-2"/>
          <w:kern w:val="2"/>
          <w:sz w:val="22"/>
          <w:szCs w:val="22"/>
          <w:lang w:val="sq-AL"/>
        </w:rPr>
        <w:t xml:space="preserve">enin 40 të Konventës, dy paragrafët e mëposhtëm shtohen pas paragrafit 2: </w:t>
      </w:r>
    </w:p>
    <w:p w:rsidR="00E3662F"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 </w:t>
      </w:r>
      <w:r>
        <w:rPr>
          <w:rFonts w:ascii="CG Times" w:hAnsi="CG Times" w:cs="Arial"/>
          <w:spacing w:val="-2"/>
          <w:kern w:val="2"/>
          <w:sz w:val="22"/>
          <w:szCs w:val="22"/>
          <w:lang w:val="sq-AL"/>
        </w:rPr>
        <w:t xml:space="preserve">“3. </w:t>
      </w:r>
      <w:r w:rsidRPr="00A15E1A">
        <w:rPr>
          <w:rFonts w:ascii="CG Times" w:hAnsi="CG Times" w:cs="Arial"/>
          <w:spacing w:val="-2"/>
          <w:kern w:val="2"/>
          <w:sz w:val="22"/>
          <w:szCs w:val="22"/>
          <w:lang w:val="sq-AL"/>
        </w:rPr>
        <w:t>Me qëllim që të sigurohet që, në masën që është e mundur, një e treta e anëtarësisë së Gjykatës të rinovohet çdo tre vjet, Asambleja Konsultative mund të vendosë, para vazhdimit me zgjedhjen pasuese, që mandati ose mandatet e një ose më shumë anëtarëve që do të zgjidhen të jenë për një periudhë të ndryshme nga nëntë vjet por jo më shumë se dymbëdhjetë</w:t>
      </w:r>
      <w:r>
        <w:rPr>
          <w:rFonts w:ascii="CG Times" w:hAnsi="CG Times" w:cs="Arial"/>
          <w:spacing w:val="-2"/>
          <w:kern w:val="2"/>
          <w:sz w:val="22"/>
          <w:szCs w:val="22"/>
          <w:lang w:val="sq-AL"/>
        </w:rPr>
        <w:t xml:space="preserve"> dhe jo më pak se gjashtë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4</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Në rastet kur bëhet fjale për më shumë se një mandat dhe Asambleja Konsultative zbaton paragrafin e mësipërm, caktimi i mandateve realizohet nëpërmjet heqjes së shortit nga Sekretari i Përgjithshëm menjëherë pas zgjedhjes”.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3662F" w:rsidRPr="000A7A3E" w:rsidRDefault="00E3662F" w:rsidP="00E3662F">
      <w:pPr>
        <w:tabs>
          <w:tab w:val="left" w:pos="-720"/>
          <w:tab w:val="left" w:pos="0"/>
          <w:tab w:val="left" w:pos="432"/>
          <w:tab w:val="left" w:pos="864"/>
          <w:tab w:val="left" w:pos="1296"/>
          <w:tab w:val="left" w:pos="1728"/>
          <w:tab w:val="left" w:pos="2160"/>
        </w:tabs>
        <w:suppressAutoHyphens/>
        <w:ind w:firstLine="720"/>
        <w:jc w:val="center"/>
        <w:rPr>
          <w:rFonts w:ascii="CG Times" w:hAnsi="CG Times" w:cs="Arial"/>
          <w:spacing w:val="-2"/>
          <w:kern w:val="2"/>
          <w:sz w:val="22"/>
          <w:szCs w:val="22"/>
          <w:lang w:val="sq-AL"/>
        </w:rPr>
      </w:pPr>
      <w:r w:rsidRPr="000A7A3E">
        <w:rPr>
          <w:rFonts w:ascii="CG Times" w:hAnsi="CG Times" w:cs="Arial"/>
          <w:spacing w:val="-2"/>
          <w:kern w:val="2"/>
          <w:sz w:val="22"/>
          <w:szCs w:val="22"/>
          <w:lang w:val="sq-AL"/>
        </w:rPr>
        <w:t>Neni  4</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Në Nenin 40 të Konventës, ish paragrafët 3 dhe 4 bëhen përkatësisht paragrafët 5 dhe 6. </w:t>
      </w:r>
    </w:p>
    <w:p w:rsidR="00E3662F" w:rsidRDefault="00E3662F" w:rsidP="00E3662F">
      <w:pPr>
        <w:tabs>
          <w:tab w:val="left" w:pos="-720"/>
          <w:tab w:val="left" w:pos="0"/>
          <w:tab w:val="left" w:pos="432"/>
          <w:tab w:val="left" w:pos="864"/>
          <w:tab w:val="left" w:pos="1296"/>
          <w:tab w:val="left" w:pos="1728"/>
          <w:tab w:val="left" w:pos="2160"/>
        </w:tabs>
        <w:suppressAutoHyphens/>
        <w:ind w:firstLine="720"/>
        <w:jc w:val="center"/>
        <w:rPr>
          <w:rFonts w:ascii="CG Times" w:hAnsi="CG Times" w:cs="Arial"/>
          <w:spacing w:val="-2"/>
          <w:kern w:val="2"/>
          <w:sz w:val="22"/>
          <w:szCs w:val="22"/>
          <w:lang w:val="sq-AL"/>
        </w:rPr>
      </w:pPr>
    </w:p>
    <w:p w:rsidR="00E3662F" w:rsidRPr="000A7A3E" w:rsidRDefault="00E3662F" w:rsidP="00E3662F">
      <w:pPr>
        <w:tabs>
          <w:tab w:val="left" w:pos="-720"/>
          <w:tab w:val="left" w:pos="0"/>
          <w:tab w:val="left" w:pos="432"/>
          <w:tab w:val="left" w:pos="864"/>
          <w:tab w:val="left" w:pos="1296"/>
          <w:tab w:val="left" w:pos="1728"/>
          <w:tab w:val="left" w:pos="2160"/>
        </w:tabs>
        <w:suppressAutoHyphens/>
        <w:ind w:firstLine="720"/>
        <w:jc w:val="center"/>
        <w:rPr>
          <w:rFonts w:ascii="CG Times" w:hAnsi="CG Times" w:cs="Arial"/>
          <w:spacing w:val="-2"/>
          <w:kern w:val="2"/>
          <w:sz w:val="22"/>
          <w:szCs w:val="22"/>
          <w:lang w:val="sq-AL"/>
        </w:rPr>
      </w:pPr>
      <w:r w:rsidRPr="000A7A3E">
        <w:rPr>
          <w:rFonts w:ascii="CG Times" w:hAnsi="CG Times" w:cs="Arial"/>
          <w:spacing w:val="-2"/>
          <w:kern w:val="2"/>
          <w:sz w:val="22"/>
          <w:szCs w:val="22"/>
          <w:lang w:val="sq-AL"/>
        </w:rPr>
        <w:t>Neni 5</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3662F" w:rsidRPr="00A15E1A" w:rsidRDefault="00E3662F" w:rsidP="00E3662F">
      <w:pPr>
        <w:tabs>
          <w:tab w:val="left" w:pos="-720"/>
          <w:tab w:val="left" w:pos="0"/>
          <w:tab w:val="left" w:pos="426"/>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1</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Ky Protokoll është i hapur për nënshkrim nga Shtetet Anëtare të Këshillit të Evropës nënshkruese të Konventës, që mund të bëhen Palë të tij nëpërmjet: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a</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nënshkrimit pa rezervën e ratifikimit, ose pranimit, ose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Pr>
          <w:rFonts w:ascii="CG Times" w:hAnsi="CG Times" w:cs="Arial"/>
          <w:spacing w:val="-2"/>
          <w:kern w:val="2"/>
          <w:sz w:val="22"/>
          <w:szCs w:val="22"/>
          <w:lang w:val="sq-AL"/>
        </w:rPr>
        <w:t xml:space="preserve">b) </w:t>
      </w:r>
      <w:r w:rsidRPr="00A15E1A">
        <w:rPr>
          <w:rFonts w:ascii="CG Times" w:hAnsi="CG Times" w:cs="Arial"/>
          <w:spacing w:val="-2"/>
          <w:kern w:val="2"/>
          <w:sz w:val="22"/>
          <w:szCs w:val="22"/>
          <w:lang w:val="sq-AL"/>
        </w:rPr>
        <w:t xml:space="preserve">nënshkrimit me rezervën e ratifikimit apo pranimit, të pasuar nga ratifikimi ose pranimi.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Instrumentet e ratifikimit ose pranimit depozitohen tek Sekretari i Përgjithshëm i Këshillit të Evropës. </w:t>
      </w:r>
    </w:p>
    <w:p w:rsidR="00E3662F" w:rsidRPr="00A15E1A" w:rsidRDefault="00E3662F" w:rsidP="00E3662F">
      <w:pPr>
        <w:tabs>
          <w:tab w:val="left" w:pos="-720"/>
          <w:tab w:val="left" w:pos="0"/>
          <w:tab w:val="left" w:pos="426"/>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2</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Ky Protokoll hyn në fuqi pasi të gjithë Shtetet Palë në Konventë të jenë bërë Palë në Protokoll, në pajtim me dispozitat e paragrafit 1 të këtij Neni. </w:t>
      </w:r>
    </w:p>
    <w:p w:rsidR="00E3662F" w:rsidRPr="00A15E1A" w:rsidRDefault="00E3662F" w:rsidP="00E3662F">
      <w:pPr>
        <w:tabs>
          <w:tab w:val="left" w:pos="-720"/>
          <w:tab w:val="left" w:pos="0"/>
          <w:tab w:val="left" w:pos="432"/>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3</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Sekretari i Përgjithshëm i Këshillit të Evropës njofton Anëtarët e Këshillit për: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a</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çdo nënshkrim pa rezervën e ratifikimit ose pranimit;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b</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çdo nënshkrim me rezervën e ratifikimit ose pranimit;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c</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depozitimin e çdo instrumenti ratifikimi ose pranimi;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Pr>
          <w:rFonts w:ascii="CG Times" w:hAnsi="CG Times" w:cs="Arial"/>
          <w:spacing w:val="-2"/>
          <w:kern w:val="2"/>
          <w:sz w:val="22"/>
          <w:szCs w:val="22"/>
          <w:lang w:val="sq-AL"/>
        </w:rPr>
        <w:t xml:space="preserve">d) </w:t>
      </w:r>
      <w:r w:rsidRPr="00A15E1A">
        <w:rPr>
          <w:rFonts w:ascii="CG Times" w:hAnsi="CG Times" w:cs="Arial"/>
          <w:spacing w:val="-2"/>
          <w:kern w:val="2"/>
          <w:sz w:val="22"/>
          <w:szCs w:val="22"/>
          <w:lang w:val="sq-AL"/>
        </w:rPr>
        <w:t xml:space="preserve">datën e hyrjes në fuqi të këtij Protokolli në pajtim me paragrafin 2 të këtij Neni.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3662F" w:rsidRDefault="00E3662F" w:rsidP="00E3662F">
      <w:pPr>
        <w:ind w:firstLine="720"/>
        <w:jc w:val="both"/>
        <w:rPr>
          <w:rFonts w:ascii="CG Times" w:hAnsi="CG Times" w:cs="Arial"/>
          <w:color w:val="000000"/>
          <w:sz w:val="22"/>
          <w:szCs w:val="22"/>
          <w:lang w:val="sq-AL"/>
        </w:rPr>
      </w:pPr>
      <w:r w:rsidRPr="00A15E1A">
        <w:rPr>
          <w:rFonts w:ascii="CG Times" w:hAnsi="CG Times" w:cs="Arial"/>
          <w:color w:val="000000"/>
          <w:sz w:val="22"/>
          <w:szCs w:val="22"/>
          <w:lang w:val="sq-AL"/>
        </w:rPr>
        <w:t xml:space="preserve">Në dëshmi të kësaj, të nënshkruarit, duke qenë rregullisht të autorizuar, kanë nënshkruar këtë Protokoll. </w:t>
      </w:r>
    </w:p>
    <w:p w:rsidR="00E3662F" w:rsidRPr="00A15E1A" w:rsidRDefault="00E3662F" w:rsidP="00E3662F">
      <w:pPr>
        <w:ind w:firstLine="720"/>
        <w:jc w:val="both"/>
        <w:rPr>
          <w:rFonts w:ascii="CG Times" w:hAnsi="CG Times" w:cs="Arial"/>
          <w:color w:val="000000"/>
          <w:sz w:val="22"/>
          <w:szCs w:val="22"/>
          <w:lang w:val="sq-AL"/>
        </w:rPr>
      </w:pPr>
    </w:p>
    <w:p w:rsidR="00E3662F" w:rsidRPr="00A15E1A" w:rsidRDefault="00E3662F" w:rsidP="00E3662F">
      <w:pPr>
        <w:ind w:firstLine="720"/>
        <w:jc w:val="both"/>
        <w:rPr>
          <w:rFonts w:ascii="CG Times" w:hAnsi="CG Times" w:cs="Arial"/>
          <w:color w:val="000000"/>
          <w:sz w:val="22"/>
          <w:szCs w:val="22"/>
          <w:lang w:val="sq-AL"/>
        </w:rPr>
      </w:pPr>
      <w:r w:rsidRPr="00A15E1A">
        <w:rPr>
          <w:rFonts w:ascii="CG Times" w:hAnsi="CG Times" w:cs="Arial"/>
          <w:color w:val="000000"/>
          <w:sz w:val="22"/>
          <w:szCs w:val="22"/>
          <w:lang w:val="sq-AL"/>
        </w:rPr>
        <w:t xml:space="preserve">Bërë bë Strasburg, më 20 janar 1966, në anglisht dhe frëngjisht, ku të dy tekstet janë njëlloj autentikë, në një kopje të vetme që depozitohet në arkivat e Këshillit të Evropës. Sekretari i Përgjithshëm i Këshillit të Evropës i dërgon kopje të njësuara me origjinalin secilës qeveri nënshkruese. </w:t>
      </w:r>
    </w:p>
    <w:p w:rsidR="00E3662F" w:rsidRPr="00A15E1A" w:rsidRDefault="00E3662F" w:rsidP="00E3662F">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3662F" w:rsidRPr="00A15E1A" w:rsidRDefault="00E3662F" w:rsidP="00E3662F">
      <w:pPr>
        <w:ind w:firstLine="720"/>
        <w:jc w:val="both"/>
        <w:rPr>
          <w:rFonts w:ascii="CG Times" w:hAnsi="CG Times"/>
          <w:sz w:val="22"/>
          <w:szCs w:val="22"/>
          <w:lang w:val="sq-AL"/>
        </w:rPr>
      </w:pPr>
    </w:p>
    <w:p w:rsidR="00E3662F" w:rsidRPr="00A15E1A" w:rsidRDefault="00E3662F" w:rsidP="00E3662F">
      <w:pPr>
        <w:ind w:firstLine="720"/>
        <w:jc w:val="both"/>
        <w:rPr>
          <w:rFonts w:ascii="CG Times" w:hAnsi="CG Times"/>
          <w:b/>
          <w:bCs/>
          <w:sz w:val="22"/>
          <w:szCs w:val="22"/>
          <w:lang w:val="sq-AL"/>
        </w:rPr>
      </w:pPr>
    </w:p>
    <w:p w:rsidR="00E3662F" w:rsidRPr="00A15E1A" w:rsidRDefault="00E3662F" w:rsidP="00E3662F">
      <w:pPr>
        <w:ind w:firstLine="720"/>
        <w:jc w:val="both"/>
        <w:rPr>
          <w:rFonts w:ascii="CG Times" w:hAnsi="CG Times"/>
          <w:b/>
          <w:bCs/>
          <w:sz w:val="22"/>
          <w:szCs w:val="22"/>
          <w:lang w:val="sq-AL"/>
        </w:rPr>
      </w:pPr>
    </w:p>
    <w:p w:rsidR="00E3662F" w:rsidRPr="00A15E1A" w:rsidRDefault="00E3662F" w:rsidP="00E3662F">
      <w:pPr>
        <w:ind w:firstLine="720"/>
        <w:jc w:val="both"/>
        <w:rPr>
          <w:rFonts w:ascii="CG Times" w:hAnsi="CG Times"/>
          <w:b/>
          <w:bCs/>
          <w:sz w:val="22"/>
          <w:szCs w:val="22"/>
          <w:lang w:val="sq-AL"/>
        </w:rPr>
      </w:pPr>
    </w:p>
    <w:p w:rsidR="00E3662F" w:rsidRPr="00A15E1A" w:rsidRDefault="00E3662F" w:rsidP="00E3662F">
      <w:pPr>
        <w:ind w:firstLine="720"/>
        <w:jc w:val="both"/>
        <w:rPr>
          <w:rFonts w:ascii="CG Times" w:hAnsi="CG Times"/>
          <w:b/>
          <w:bCs/>
          <w:sz w:val="22"/>
          <w:szCs w:val="22"/>
          <w:lang w:val="sq-AL"/>
        </w:rPr>
      </w:pPr>
    </w:p>
    <w:p w:rsidR="00E3662F" w:rsidRPr="00A15E1A" w:rsidRDefault="00E3662F" w:rsidP="00E3662F">
      <w:pPr>
        <w:ind w:firstLine="720"/>
        <w:jc w:val="both"/>
        <w:rPr>
          <w:rFonts w:ascii="CG Times" w:hAnsi="CG Times"/>
          <w:b/>
          <w:bCs/>
          <w:sz w:val="22"/>
          <w:szCs w:val="22"/>
          <w:lang w:val="sq-AL"/>
        </w:rPr>
      </w:pPr>
    </w:p>
    <w:p w:rsidR="00E3662F" w:rsidRPr="00A15E1A" w:rsidRDefault="00E3662F" w:rsidP="00E3662F">
      <w:pPr>
        <w:ind w:firstLine="720"/>
        <w:jc w:val="both"/>
        <w:rPr>
          <w:rFonts w:ascii="CG Times" w:hAnsi="CG Times"/>
          <w:b/>
          <w:bCs/>
          <w:sz w:val="22"/>
          <w:szCs w:val="22"/>
          <w:lang w:val="sq-AL"/>
        </w:rPr>
      </w:pPr>
    </w:p>
    <w:p w:rsidR="00E3662F" w:rsidRPr="00A15E1A" w:rsidRDefault="00E3662F" w:rsidP="00E3662F">
      <w:pPr>
        <w:ind w:firstLine="720"/>
        <w:jc w:val="both"/>
        <w:rPr>
          <w:rFonts w:ascii="CG Times" w:hAnsi="CG Times"/>
          <w:b/>
          <w:bCs/>
          <w:sz w:val="22"/>
          <w:szCs w:val="22"/>
          <w:lang w:val="sq-AL"/>
        </w:rPr>
      </w:pPr>
    </w:p>
    <w:p w:rsidR="00E3662F" w:rsidRPr="00A15E1A" w:rsidRDefault="00E3662F" w:rsidP="00E3662F">
      <w:pPr>
        <w:ind w:firstLine="720"/>
        <w:jc w:val="both"/>
        <w:rPr>
          <w:rFonts w:ascii="CG Times" w:hAnsi="CG Times"/>
          <w:b/>
          <w:bCs/>
          <w:sz w:val="22"/>
          <w:szCs w:val="22"/>
          <w:lang w:val="sq-AL"/>
        </w:rPr>
      </w:pPr>
    </w:p>
    <w:p w:rsidR="00E3662F" w:rsidRPr="00A15E1A" w:rsidRDefault="00E3662F" w:rsidP="00E3662F">
      <w:pPr>
        <w:ind w:firstLine="720"/>
        <w:jc w:val="both"/>
        <w:rPr>
          <w:rFonts w:ascii="CG Times" w:hAnsi="CG Times"/>
          <w:b/>
          <w:bCs/>
          <w:sz w:val="22"/>
          <w:szCs w:val="22"/>
          <w:lang w:val="sq-AL"/>
        </w:rPr>
      </w:pPr>
    </w:p>
    <w:p w:rsidR="00E3662F" w:rsidRDefault="00E3662F" w:rsidP="00E3662F">
      <w:pPr>
        <w:ind w:firstLine="720"/>
        <w:jc w:val="both"/>
        <w:rPr>
          <w:rFonts w:ascii="CG Times" w:hAnsi="CG Times"/>
          <w:b/>
          <w:bCs/>
          <w:sz w:val="22"/>
          <w:szCs w:val="22"/>
          <w:lang w:val="sq-AL"/>
        </w:rPr>
      </w:pPr>
    </w:p>
    <w:p w:rsidR="009B538E" w:rsidRDefault="009B538E">
      <w:bookmarkStart w:id="0" w:name="_GoBack"/>
      <w:bookmarkEnd w:id="0"/>
    </w:p>
    <w:sectPr w:rsidR="009B53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62F"/>
    <w:rsid w:val="009B538E"/>
    <w:rsid w:val="00E36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4797A9-8F6E-4212-B6D5-6893AE6EB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662F"/>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620</Words>
  <Characters>3539</Characters>
  <Application>Microsoft Office Word</Application>
  <DocSecurity>0</DocSecurity>
  <Lines>29</Lines>
  <Paragraphs>8</Paragraphs>
  <ScaleCrop>false</ScaleCrop>
  <Company>AKSHI</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1</cp:revision>
  <dcterms:created xsi:type="dcterms:W3CDTF">2024-05-15T10:05:00Z</dcterms:created>
  <dcterms:modified xsi:type="dcterms:W3CDTF">2024-05-15T10:05:00Z</dcterms:modified>
</cp:coreProperties>
</file>