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D59" w:rsidRPr="00A15E1A" w:rsidRDefault="00147D59" w:rsidP="00147D59">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Protokolli Nr. 8</w:t>
      </w:r>
    </w:p>
    <w:p w:rsidR="00147D59" w:rsidRPr="00A15E1A" w:rsidRDefault="00147D59" w:rsidP="00147D59">
      <w:pPr>
        <w:tabs>
          <w:tab w:val="left" w:pos="-720"/>
        </w:tabs>
        <w:suppressAutoHyphens/>
        <w:jc w:val="center"/>
        <w:rPr>
          <w:rFonts w:ascii="CG Times" w:hAnsi="CG Times" w:cs="Arial"/>
          <w:b/>
          <w:caps/>
          <w:spacing w:val="-3"/>
          <w:sz w:val="22"/>
          <w:szCs w:val="22"/>
          <w:lang w:val="sq-AL"/>
        </w:rPr>
      </w:pPr>
      <w:r w:rsidRPr="00A15E1A">
        <w:rPr>
          <w:rFonts w:ascii="CG Times" w:hAnsi="CG Times" w:cs="Arial"/>
          <w:b/>
          <w:caps/>
          <w:spacing w:val="-3"/>
          <w:sz w:val="22"/>
          <w:szCs w:val="22"/>
          <w:lang w:val="sq-AL"/>
        </w:rPr>
        <w:t>i Konventës për Mbrojtjen e të Drejtave të Njeriut dhe Lirive Themelore, që ndryshon Nenet 22 dhe 40 të Konventës</w:t>
      </w:r>
    </w:p>
    <w:p w:rsidR="00147D59" w:rsidRPr="00A15E1A" w:rsidRDefault="00147D59" w:rsidP="00147D59">
      <w:pPr>
        <w:tabs>
          <w:tab w:val="left" w:pos="-720"/>
        </w:tabs>
        <w:suppressAutoHyphens/>
        <w:spacing w:line="312" w:lineRule="auto"/>
        <w:ind w:firstLine="720"/>
        <w:jc w:val="both"/>
        <w:rPr>
          <w:rFonts w:ascii="CG Times" w:hAnsi="CG Times" w:cs="Arial"/>
          <w:b/>
          <w:spacing w:val="-3"/>
          <w:sz w:val="22"/>
          <w:szCs w:val="22"/>
          <w:lang w:val="sq-AL"/>
        </w:rPr>
      </w:pPr>
    </w:p>
    <w:p w:rsidR="00147D59" w:rsidRDefault="00147D59" w:rsidP="00147D59">
      <w:pPr>
        <w:tabs>
          <w:tab w:val="left" w:pos="-720"/>
        </w:tabs>
        <w:suppressAutoHyphens/>
        <w:spacing w:line="312" w:lineRule="auto"/>
        <w:ind w:firstLine="720"/>
        <w:jc w:val="both"/>
        <w:rPr>
          <w:rFonts w:ascii="CG Times" w:hAnsi="CG Times" w:cs="Arial"/>
          <w:b/>
          <w:spacing w:val="-3"/>
          <w:sz w:val="22"/>
          <w:szCs w:val="22"/>
          <w:lang w:val="sq-AL"/>
        </w:rPr>
      </w:pPr>
      <w:r w:rsidRPr="00A15E1A">
        <w:rPr>
          <w:rFonts w:ascii="CG Times" w:hAnsi="CG Times" w:cs="Arial"/>
          <w:b/>
          <w:spacing w:val="-3"/>
          <w:sz w:val="22"/>
          <w:szCs w:val="22"/>
          <w:lang w:val="sq-AL"/>
        </w:rPr>
        <w:t xml:space="preserve">Vjenë, 19.III.1985 </w:t>
      </w:r>
    </w:p>
    <w:p w:rsidR="00147D59" w:rsidRPr="00A15E1A" w:rsidRDefault="00147D59" w:rsidP="00147D59">
      <w:pPr>
        <w:tabs>
          <w:tab w:val="left" w:pos="-720"/>
        </w:tabs>
        <w:suppressAutoHyphens/>
        <w:spacing w:line="312" w:lineRule="auto"/>
        <w:ind w:firstLine="720"/>
        <w:jc w:val="both"/>
        <w:rPr>
          <w:rFonts w:ascii="CG Times" w:hAnsi="CG Times" w:cs="Arial"/>
          <w:b/>
          <w:spacing w:val="-3"/>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Shtetet Anëtare të Këshillit të Evropës, nënshkruese të këtij Protokolli të Konventës për Mbrojtjen e të Drejtave të Njeriut dhe Lirive Themelore, të nënshkruar në Romë më 4 nëntor 1950 (këtu quhet “Konventa”);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e konsideruar të dëshirueshme ndryshimin e disa dispozitave të Konventës me qëllim përmirësimin dhe veçanërisht përshpejtimin e procedurës së Komisionit Evropian për të Drejtat e Njeriut;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Duke konsideruar që është e këshillueshme ndryshimi i disa dispozitave të Konventës në lidhje me procedurën e Gjykatës Evropiane për të Drejtat e Njeriut;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Kanë rënë dakord si më poshtë: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6839E1">
        <w:rPr>
          <w:rFonts w:ascii="CG Times" w:hAnsi="CG Times" w:cs="Arial"/>
          <w:spacing w:val="-2"/>
          <w:kern w:val="2"/>
          <w:sz w:val="22"/>
          <w:szCs w:val="22"/>
          <w:lang w:val="sq-AL"/>
        </w:rPr>
        <w:t>Neni 1</w:t>
      </w:r>
    </w:p>
    <w:p w:rsidR="00147D59" w:rsidRPr="006839E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Teksti ekzistues i Nenit 20 të Konventës bëhet paragrafi 1 i atij Neni dhe plotësohet me paragrafët e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 </w:t>
      </w:r>
      <w:r>
        <w:rPr>
          <w:rFonts w:ascii="CG Times" w:hAnsi="CG Times" w:cs="Arial"/>
          <w:spacing w:val="-2"/>
          <w:kern w:val="2"/>
          <w:sz w:val="22"/>
          <w:szCs w:val="22"/>
          <w:lang w:val="sq-AL"/>
        </w:rPr>
        <w:t xml:space="preserve">“2. </w:t>
      </w:r>
      <w:r w:rsidRPr="00A15E1A">
        <w:rPr>
          <w:rFonts w:ascii="CG Times" w:hAnsi="CG Times" w:cs="Arial"/>
          <w:spacing w:val="-2"/>
          <w:kern w:val="2"/>
          <w:sz w:val="22"/>
          <w:szCs w:val="22"/>
          <w:lang w:val="sq-AL"/>
        </w:rPr>
        <w:t xml:space="preserve">Komisioni mblidhet në seancë plenare. Megjithatë, ai mund të themelojë Oda, ku secila përbëhet nga të paktën shtate anëtarë. Odat mund të shqyrtojnë peticione të paraqitura sipas nenit 25 të kësaj Konvente që mund të trajtohen në bazën e praktikës së vendosur ose që nuk përmbajnë çështje serioze që cenojnë interpretimin ose zbatimin e Konventës. Në pajtim me këtë kufizim dhe me dispozitat e paragrafit 5 të këtij neni, Odat ushtrojnë të gjitha kompetencat që i jepen komisionit nga Konventa.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Anëtarët e Komisionit të zgjedhur për një Palë Kontraktuese kundër së cilës është bërë një peticion kanë të drejtën të marrin pjesë në Dhomën së cilës i është referuar ai peticion.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Komisioni mund të themelojë Komitete, ku secili përbëhet nga të paktën tre anëtarë me kompetencë që ushtrohet me votë unanime, për të deklaruar pranueshmërinë ose për të hequr nga lista e çështjeve një peticion të paraqitur sipas Nenit 25, nëse një vendim i tillë mund të merret pa  shqyrtim të mëtejshëm.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4</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Një Dhomë ose komitet në çdo kohë mund të japë juridiksion në favor të Komisionit plenar, i cili gjithashtu mund të urdhërojë transferimin tek ai të çdo peticioni të referuar një Ode ose komiteti.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5</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Kompetencat e mëposhtme mund t’i ushtrojë vetëm Komisioni Plenar: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shqyrtimin e kërkesave të paraqitura sipas Nenit 24;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sjelljen e një çështjeje në Gjykatë në pajtim me Nenin 48.a;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c</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përpilimin e rregullave procedurale në pajtim me Nenin 36.” </w:t>
      </w: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FB2A11">
        <w:rPr>
          <w:rFonts w:ascii="CG Times" w:hAnsi="CG Times" w:cs="Arial"/>
          <w:spacing w:val="-2"/>
          <w:kern w:val="2"/>
          <w:sz w:val="22"/>
          <w:szCs w:val="22"/>
          <w:lang w:val="sq-AL"/>
        </w:rPr>
        <w:t>Neni 2</w:t>
      </w: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Neni 21 i Konventës plotësohet me paragrafin e tretë të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 </w:t>
      </w:r>
      <w:r>
        <w:rPr>
          <w:rFonts w:ascii="CG Times" w:hAnsi="CG Times" w:cs="Arial"/>
          <w:spacing w:val="-2"/>
          <w:kern w:val="2"/>
          <w:sz w:val="22"/>
          <w:szCs w:val="22"/>
          <w:lang w:val="sq-AL"/>
        </w:rPr>
        <w:t xml:space="preserve">“3. </w:t>
      </w:r>
      <w:r w:rsidRPr="00A15E1A">
        <w:rPr>
          <w:rFonts w:ascii="CG Times" w:hAnsi="CG Times" w:cs="Arial"/>
          <w:spacing w:val="-2"/>
          <w:kern w:val="2"/>
          <w:sz w:val="22"/>
          <w:szCs w:val="22"/>
          <w:lang w:val="sq-AL"/>
        </w:rPr>
        <w:t xml:space="preserve">Kandidatët janë me cilësi të larta morale dhe duhet të zotërojnë kualifikimet e kërkuara për emërimet në postet e larta gjyqësore ose të jenë persona me njohuri të konfirmuara në të drejtën e brendshme dhe ndërkombëtare.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FB2A11">
        <w:rPr>
          <w:rFonts w:ascii="CG Times" w:hAnsi="CG Times" w:cs="Arial"/>
          <w:spacing w:val="-2"/>
          <w:kern w:val="2"/>
          <w:sz w:val="22"/>
          <w:szCs w:val="22"/>
          <w:lang w:val="sq-AL"/>
        </w:rPr>
        <w:t>Neni 3</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Neni 23 i Konventës plotësohet me fjalinë e mëposhtme: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 “Gjatë mandatit të tyre, ata nuk kanë asnjë post që nuk është në përputhje me pavarësinë dhe paanësinë e tyre si anëtarë të Komisionit dhe kërkesat e këtij mandati.”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FB2A11">
        <w:rPr>
          <w:rFonts w:ascii="CG Times" w:hAnsi="CG Times" w:cs="Arial"/>
          <w:spacing w:val="-2"/>
          <w:kern w:val="2"/>
          <w:sz w:val="22"/>
          <w:szCs w:val="22"/>
          <w:lang w:val="sq-AL"/>
        </w:rPr>
        <w:t>Neni 4</w:t>
      </w: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Teksti i Nenit 28 të Konventës, i ndryshuar, bëhet paragrafi 1 i këtij Neni dhe teksti i Nenit 30, i ndryshuar, bëhet paragrafi 2. Teksti i ri i Nenit 28 ka formulimin e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A15E1A">
        <w:rPr>
          <w:rFonts w:ascii="CG Times" w:hAnsi="CG Times" w:cs="Arial"/>
          <w:spacing w:val="-2"/>
          <w:kern w:val="2"/>
          <w:sz w:val="22"/>
          <w:szCs w:val="22"/>
          <w:lang w:val="sq-AL"/>
        </w:rPr>
        <w:t>“Neni 28</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 rast se Komisioni pranon një peticion që referohet atij: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ai, me qëllim konfirmimin e fakteve, ndërmerr së bashku me përfaqësuesit e palëve një shqyrtim të peticionit dhe, nëse është e nevojshme, një hetim ku për kryerjen e të cilit Shtetet e interesuar japin të gjitha lehtësirat e nevojshme, pas shkëmbimit të mendimeve me Komisionin;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 ai, në të njëjtën kohë vihet në dispozicion të palëve të interesuara me qëllim arritjen e një zgjidhjeje me pajtim të çështjes mbi bazën e respektimit të të drejtave të njeriut sipas përkufizimit në këtë Konventë;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Nëse Komisioni arrin realizimin e një zgjidhjeje me pajtim, ai harton një raport që u dërgohet Shteteve të interesuara, Komitetit të Ministrave dhe Sekretarit të Përgjithshëm të Këshillit të Evropës për publikim. Ky raport kufizohet në një pasqyrë të shkurtër të fakteve dhe të zgjidhjes së arritur.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FB2A11">
        <w:rPr>
          <w:rFonts w:ascii="CG Times" w:hAnsi="CG Times" w:cs="Arial"/>
          <w:spacing w:val="-2"/>
          <w:kern w:val="2"/>
          <w:sz w:val="22"/>
          <w:szCs w:val="22"/>
          <w:lang w:val="sq-AL"/>
        </w:rPr>
        <w:t>Neni 5</w:t>
      </w: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paragrafin e parë të Nenit 29 të Konventës, fjala “unanimisht” zëvendësohet nga fjalët “me një shumicë prej dy të tretat të anëtarëve të tij”.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FB2A11"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FB2A11">
        <w:rPr>
          <w:rFonts w:ascii="CG Times" w:hAnsi="CG Times" w:cs="Arial"/>
          <w:spacing w:val="-2"/>
          <w:kern w:val="2"/>
          <w:sz w:val="22"/>
          <w:szCs w:val="22"/>
          <w:lang w:val="sq-AL"/>
        </w:rPr>
        <w:t>Neni 6</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Konventë futet dispozita e mëposhtme: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A15E1A">
        <w:rPr>
          <w:rFonts w:ascii="CG Times" w:hAnsi="CG Times" w:cs="Arial"/>
          <w:spacing w:val="-2"/>
          <w:kern w:val="2"/>
          <w:sz w:val="22"/>
          <w:szCs w:val="22"/>
          <w:lang w:val="sq-AL"/>
        </w:rPr>
        <w:t>“Neni 30</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1</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Komisioni, në çdo fazë të procedimit, mund të vendosë të heqë një peticion nga lista e çështjeve nëse rrethanat çojnë drejt përfundimit që: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a</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kërkuesi nuk synon ndjekjen e peticionit të tij, ose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b</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çështja është zgjidhur, ose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c</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për çdo shkak tjetër të konfirmuar nga Komisioni, nuk është e justifikueshme të vazhdohet shqyrtimi i peticionit.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Megjithatë, Komisioni vazhdon shqyrtimin e një peticioni nëse këtë e kërkon respektimi i të drejtave të njeriut të përkufizuara në Konventë.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2</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Nëse Komisioni vendos të heqë një peticion nga lista e tij pas pranimit të saj, ai harton një raport që përmban një pasqyrë të fakteve dhe vendimin për heqjen e peticionit së bashku me shkaqet për këtë. Raporti u transmetohet palëve, si dhe Komitetit të Ministrave për dijeni. Komisioni mund ta botojë atë.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3</w:t>
      </w:r>
      <w:r>
        <w:rPr>
          <w:rFonts w:ascii="CG Times" w:hAnsi="CG Times" w:cs="Arial"/>
          <w:spacing w:val="-2"/>
          <w:kern w:val="2"/>
          <w:sz w:val="22"/>
          <w:szCs w:val="22"/>
          <w:lang w:val="sq-AL"/>
        </w:rPr>
        <w:t xml:space="preserve">. </w:t>
      </w:r>
      <w:r w:rsidRPr="00A15E1A">
        <w:rPr>
          <w:rFonts w:ascii="CG Times" w:hAnsi="CG Times" w:cs="Arial"/>
          <w:spacing w:val="-2"/>
          <w:kern w:val="2"/>
          <w:sz w:val="22"/>
          <w:szCs w:val="22"/>
          <w:lang w:val="sq-AL"/>
        </w:rPr>
        <w:t xml:space="preserve">Komisioni mund të vendosë të rivendosë peticionin në listën e tij të çështjeve nëse ai konsideron që rrethanat e justifikojnë këtë veprim.”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7</w:t>
      </w: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Nenin 31 të Konventës, paragrafi 1 ka formulimin e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“1.  </w:t>
      </w:r>
      <w:r w:rsidRPr="00A15E1A">
        <w:rPr>
          <w:rFonts w:ascii="CG Times" w:hAnsi="CG Times" w:cs="Arial"/>
          <w:spacing w:val="-2"/>
          <w:kern w:val="2"/>
          <w:sz w:val="22"/>
          <w:szCs w:val="22"/>
          <w:lang w:val="sq-AL"/>
        </w:rPr>
        <w:t xml:space="preserve">Nëse shqyrtimi i një peticioni nuk është përfunduar në pajtim me Nenin 28 (paragrafi 2) 29 ose 30, Komisioni harton një raport të fakteve dhe deklaron mendimin e tij nëse faktet e konstatuara tregojnë një shkelje të detyrimeve nga Shteti i interesuar sipas Konventës. Mendimet individuale të anëtarëve të Komisionit mbi këtë pikë mund të deklarohen në raport”.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8</w:t>
      </w: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Neni 34 i Konventës ka formulimin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pajtim me dispozitat e Neneve 20 (paragrafi 3) dhe 29, Komisioni merr vendimin e tij me shumicë të anëtarëve të pranishëm në votim”.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9</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Neni 40 i Konventës plotësohet nga paragrafi i shtatë i mëposhtëm: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Pr>
          <w:rFonts w:ascii="CG Times" w:hAnsi="CG Times" w:cs="Arial"/>
          <w:spacing w:val="-2"/>
          <w:kern w:val="2"/>
          <w:sz w:val="22"/>
          <w:szCs w:val="22"/>
          <w:lang w:val="sq-AL"/>
        </w:rPr>
        <w:t xml:space="preserve">“7 </w:t>
      </w:r>
      <w:r w:rsidRPr="00A15E1A">
        <w:rPr>
          <w:rFonts w:ascii="CG Times" w:hAnsi="CG Times" w:cs="Arial"/>
          <w:spacing w:val="-2"/>
          <w:kern w:val="2"/>
          <w:sz w:val="22"/>
          <w:szCs w:val="22"/>
          <w:lang w:val="sq-AL"/>
        </w:rPr>
        <w:t xml:space="preserve">anëtarët e Gjykatës janë anëtarë në Gjykatë në cilësinë e tyre individuale. Gjatë mandatit ata nuk mbajnë asnjë pozicion që është në kundërshtim me pavarësinë dhe paanësinë  e tyre si anëtarë të Gjykatës ose me kërkesat e këtij mandati”.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10</w:t>
      </w: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Neni 41 i Konventës ka formulimin mëposhtëm:</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“Gjykata e zgjedh Kryetarin dhe një ose dy Zëvendëskryetarë për një periudhë prej tre vjetësh. Ata mund të ri-zgjidhen”.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11</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r w:rsidRPr="00A15E1A">
        <w:rPr>
          <w:rFonts w:ascii="CG Times" w:hAnsi="CG Times" w:cs="Arial"/>
          <w:spacing w:val="-2"/>
          <w:kern w:val="2"/>
          <w:sz w:val="22"/>
          <w:szCs w:val="22"/>
          <w:lang w:val="sq-AL"/>
        </w:rPr>
        <w:t xml:space="preserve">Në fjalinë e parë të Nenit 43 të Konventës, fjala “shtatë” zëvendësohet me fjalën “nëntë”.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12</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ind w:firstLine="720"/>
        <w:jc w:val="both"/>
        <w:rPr>
          <w:rFonts w:ascii="CG Times" w:hAnsi="CG Times" w:cs="Arial"/>
          <w:sz w:val="22"/>
          <w:szCs w:val="22"/>
          <w:lang w:val="sq-AL"/>
        </w:rPr>
      </w:pPr>
      <w:r w:rsidRPr="00A15E1A">
        <w:rPr>
          <w:rFonts w:ascii="CG Times" w:hAnsi="CG Times" w:cs="Arial"/>
          <w:sz w:val="22"/>
          <w:szCs w:val="22"/>
          <w:lang w:val="sq-AL"/>
        </w:rPr>
        <w:t xml:space="preserve">1. Ky Protokoll është i hapur për nënshkrim nga Shtetet anëtare të Këshillit të Evropës, nënshkrues të Konventës, që mund të shprehin pëlqimin e tyre për t’iu nënshtruar: </w:t>
      </w:r>
    </w:p>
    <w:p w:rsidR="00147D59" w:rsidRPr="00A15E1A" w:rsidRDefault="00147D59" w:rsidP="00147D59">
      <w:pPr>
        <w:ind w:firstLine="720"/>
        <w:jc w:val="both"/>
        <w:rPr>
          <w:rFonts w:ascii="CG Times" w:hAnsi="CG Times" w:cs="Arial"/>
          <w:sz w:val="22"/>
          <w:szCs w:val="22"/>
          <w:lang w:val="sq-AL"/>
        </w:rPr>
      </w:pPr>
      <w:r>
        <w:rPr>
          <w:rFonts w:ascii="CG Times" w:hAnsi="CG Times" w:cs="Arial"/>
          <w:sz w:val="22"/>
          <w:szCs w:val="22"/>
          <w:lang w:val="sq-AL"/>
        </w:rPr>
        <w:t>a)</w:t>
      </w:r>
      <w:r w:rsidRPr="00A15E1A">
        <w:rPr>
          <w:rFonts w:ascii="CG Times" w:hAnsi="CG Times" w:cs="Arial"/>
          <w:sz w:val="22"/>
          <w:szCs w:val="22"/>
          <w:lang w:val="sq-AL"/>
        </w:rPr>
        <w:t xml:space="preserve"> Nënshkrimit pa rezervën e ratifikimit, pranimit ose aprovimit; ose </w:t>
      </w:r>
    </w:p>
    <w:p w:rsidR="00147D59" w:rsidRPr="00A15E1A" w:rsidRDefault="00147D59" w:rsidP="00147D59">
      <w:pPr>
        <w:ind w:firstLine="720"/>
        <w:jc w:val="both"/>
        <w:rPr>
          <w:rFonts w:ascii="CG Times" w:hAnsi="CG Times" w:cs="Arial"/>
          <w:sz w:val="22"/>
          <w:szCs w:val="22"/>
          <w:lang w:val="sq-AL"/>
        </w:rPr>
      </w:pPr>
      <w:r>
        <w:rPr>
          <w:rFonts w:ascii="CG Times" w:hAnsi="CG Times" w:cs="Arial"/>
          <w:sz w:val="22"/>
          <w:szCs w:val="22"/>
          <w:lang w:val="sq-AL"/>
        </w:rPr>
        <w:t>b)</w:t>
      </w:r>
      <w:r w:rsidRPr="00A15E1A">
        <w:rPr>
          <w:rFonts w:ascii="CG Times" w:hAnsi="CG Times" w:cs="Arial"/>
          <w:sz w:val="22"/>
          <w:szCs w:val="22"/>
          <w:lang w:val="sq-AL"/>
        </w:rPr>
        <w:t xml:space="preserve"> Nënshkrimit me rezervën e ratifikimit, pranimit ose aprovimit që pasohet nga ratifikimi, pranimi ose aprovimi. </w:t>
      </w:r>
    </w:p>
    <w:p w:rsidR="00147D59" w:rsidRPr="00A15E1A" w:rsidRDefault="00147D59" w:rsidP="00147D59">
      <w:pPr>
        <w:ind w:firstLine="720"/>
        <w:jc w:val="both"/>
        <w:rPr>
          <w:rFonts w:ascii="CG Times" w:hAnsi="CG Times" w:cs="Arial"/>
          <w:sz w:val="22"/>
          <w:szCs w:val="22"/>
          <w:lang w:val="sq-AL"/>
        </w:rPr>
      </w:pPr>
      <w:r w:rsidRPr="00A15E1A">
        <w:rPr>
          <w:rFonts w:ascii="CG Times" w:hAnsi="CG Times" w:cs="Arial"/>
          <w:sz w:val="22"/>
          <w:szCs w:val="22"/>
          <w:lang w:val="sq-AL"/>
        </w:rPr>
        <w:t xml:space="preserve">2. Instrumentet e ratifikimit, pranimit ose aprovimit depozitohen tek Sekretari i Përgjithshëm i Këshillit të Evropës. </w:t>
      </w: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13</w:t>
      </w: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ind w:firstLine="720"/>
        <w:jc w:val="both"/>
        <w:rPr>
          <w:rFonts w:ascii="CG Times" w:hAnsi="CG Times" w:cs="Arial"/>
          <w:spacing w:val="-2"/>
          <w:kern w:val="2"/>
          <w:sz w:val="22"/>
          <w:szCs w:val="22"/>
          <w:lang w:val="sq-AL"/>
        </w:rPr>
      </w:pPr>
      <w:r w:rsidRPr="00A15E1A">
        <w:rPr>
          <w:rFonts w:ascii="CG Times" w:hAnsi="CG Times" w:cs="Arial"/>
          <w:color w:val="000000"/>
          <w:sz w:val="22"/>
          <w:szCs w:val="22"/>
          <w:lang w:val="sq-AL"/>
        </w:rPr>
        <w:t xml:space="preserve">Ky Protokoll hyn në fuqi në ditën e parë të muajit pas skadimit të afatit tre mujor pas datës në të cilën të gjitha Palët e Konventës kanë shprehur pëlqimin e tyre t’i nënshtrohen Protokollit në pajtim me dispozitat e Nenit 12. </w:t>
      </w:r>
    </w:p>
    <w:p w:rsidR="00147D59" w:rsidRPr="00A15E1A" w:rsidRDefault="00147D59" w:rsidP="00147D59">
      <w:pPr>
        <w:tabs>
          <w:tab w:val="left" w:pos="-720"/>
          <w:tab w:val="left" w:pos="0"/>
          <w:tab w:val="left" w:pos="432"/>
          <w:tab w:val="left" w:pos="864"/>
          <w:tab w:val="left" w:pos="1296"/>
          <w:tab w:val="left" w:pos="1728"/>
          <w:tab w:val="left" w:pos="1980"/>
          <w:tab w:val="left" w:pos="2160"/>
        </w:tabs>
        <w:ind w:firstLine="720"/>
        <w:jc w:val="both"/>
        <w:rPr>
          <w:rFonts w:ascii="CG Times" w:hAnsi="CG Times" w:cs="Arial"/>
          <w:spacing w:val="-2"/>
          <w:kern w:val="2"/>
          <w:sz w:val="22"/>
          <w:szCs w:val="22"/>
          <w:lang w:val="sq-AL"/>
        </w:rPr>
      </w:pPr>
    </w:p>
    <w:p w:rsidR="00147D59"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r w:rsidRPr="00254A1E">
        <w:rPr>
          <w:rFonts w:ascii="CG Times" w:hAnsi="CG Times" w:cs="Arial"/>
          <w:spacing w:val="-2"/>
          <w:kern w:val="2"/>
          <w:sz w:val="22"/>
          <w:szCs w:val="22"/>
          <w:lang w:val="sq-AL"/>
        </w:rPr>
        <w:t>Neni 14</w:t>
      </w:r>
    </w:p>
    <w:p w:rsidR="00147D59" w:rsidRPr="00254A1E" w:rsidRDefault="00147D59" w:rsidP="00147D59">
      <w:pPr>
        <w:tabs>
          <w:tab w:val="left" w:pos="-720"/>
          <w:tab w:val="left" w:pos="0"/>
          <w:tab w:val="left" w:pos="432"/>
          <w:tab w:val="left" w:pos="864"/>
          <w:tab w:val="left" w:pos="1296"/>
          <w:tab w:val="left" w:pos="1728"/>
          <w:tab w:val="left" w:pos="1980"/>
          <w:tab w:val="left" w:pos="2160"/>
        </w:tabs>
        <w:ind w:firstLine="720"/>
        <w:jc w:val="center"/>
        <w:rPr>
          <w:rFonts w:ascii="CG Times" w:hAnsi="CG Times" w:cs="Arial"/>
          <w:spacing w:val="-2"/>
          <w:kern w:val="2"/>
          <w:sz w:val="22"/>
          <w:szCs w:val="22"/>
          <w:lang w:val="sq-AL"/>
        </w:rPr>
      </w:pPr>
    </w:p>
    <w:p w:rsidR="00147D59" w:rsidRPr="00A15E1A" w:rsidRDefault="00147D59" w:rsidP="00147D59">
      <w:pPr>
        <w:ind w:firstLine="720"/>
        <w:jc w:val="both"/>
        <w:rPr>
          <w:rFonts w:ascii="CG Times" w:hAnsi="CG Times" w:cs="Arial"/>
          <w:color w:val="000000"/>
          <w:sz w:val="22"/>
          <w:szCs w:val="22"/>
          <w:lang w:val="sq-AL"/>
        </w:rPr>
      </w:pPr>
      <w:r w:rsidRPr="00A15E1A">
        <w:rPr>
          <w:rFonts w:ascii="CG Times" w:hAnsi="CG Times" w:cs="Arial"/>
          <w:color w:val="000000"/>
          <w:sz w:val="22"/>
          <w:szCs w:val="22"/>
          <w:lang w:val="sq-AL"/>
        </w:rPr>
        <w:t xml:space="preserve">Sekretari i Përgjithshëm i Këshillit të Evropës njofton Shtetet Anëtare të Këshillit për: </w:t>
      </w:r>
    </w:p>
    <w:p w:rsidR="00147D59" w:rsidRPr="00254A1E" w:rsidRDefault="00147D59" w:rsidP="00147D59">
      <w:pPr>
        <w:pStyle w:val="Paragrafi"/>
        <w:rPr>
          <w:lang w:val="sq-AL"/>
        </w:rPr>
      </w:pPr>
      <w:r w:rsidRPr="00254A1E">
        <w:rPr>
          <w:lang w:val="sq-AL"/>
        </w:rPr>
        <w:t xml:space="preserve">a) çdo nënshkrim; </w:t>
      </w:r>
    </w:p>
    <w:p w:rsidR="00147D59" w:rsidRPr="00A15E1A" w:rsidRDefault="00147D59" w:rsidP="00147D59">
      <w:pPr>
        <w:pStyle w:val="Paragrafi"/>
        <w:rPr>
          <w:lang w:val="it-IT"/>
        </w:rPr>
      </w:pPr>
      <w:r>
        <w:rPr>
          <w:lang w:val="it-IT"/>
        </w:rPr>
        <w:t xml:space="preserve">b) </w:t>
      </w:r>
      <w:r w:rsidRPr="00A15E1A">
        <w:rPr>
          <w:lang w:val="it-IT"/>
        </w:rPr>
        <w:t xml:space="preserve">depozitimin e çdo instrumenti ratifikimi, pranimi ose aprovimi; </w:t>
      </w:r>
    </w:p>
    <w:p w:rsidR="00147D59" w:rsidRPr="00A15E1A" w:rsidRDefault="00147D59" w:rsidP="00147D59">
      <w:pPr>
        <w:pStyle w:val="Paragrafi"/>
        <w:rPr>
          <w:lang w:val="it-IT"/>
        </w:rPr>
      </w:pPr>
      <w:r>
        <w:rPr>
          <w:lang w:val="it-IT"/>
        </w:rPr>
        <w:t xml:space="preserve">c) </w:t>
      </w:r>
      <w:r w:rsidRPr="00A15E1A">
        <w:rPr>
          <w:lang w:val="it-IT"/>
        </w:rPr>
        <w:t xml:space="preserve">datën e hyrjes në fuqi të këtij Protokolli ose të dispozitave të tij në pajtim me Nenin 13; dhe </w:t>
      </w:r>
    </w:p>
    <w:p w:rsidR="00147D59" w:rsidRDefault="00147D59" w:rsidP="00147D59">
      <w:pPr>
        <w:pStyle w:val="Paragrafi"/>
        <w:rPr>
          <w:lang w:val="it-IT"/>
        </w:rPr>
      </w:pPr>
      <w:r>
        <w:rPr>
          <w:lang w:val="it-IT"/>
        </w:rPr>
        <w:t xml:space="preserve">d) </w:t>
      </w:r>
      <w:r w:rsidRPr="00A15E1A">
        <w:rPr>
          <w:lang w:val="it-IT"/>
        </w:rPr>
        <w:t xml:space="preserve">çdo akt, njoftim ose komunikim tjetër në lidhje me Protokollin. </w:t>
      </w:r>
    </w:p>
    <w:p w:rsidR="00147D59" w:rsidRPr="00A15E1A" w:rsidRDefault="00147D59" w:rsidP="00147D59">
      <w:pPr>
        <w:pStyle w:val="Paragrafi"/>
        <w:rPr>
          <w:lang w:val="it-IT"/>
        </w:rPr>
      </w:pPr>
      <w:r w:rsidRPr="00A15E1A">
        <w:rPr>
          <w:lang w:val="it-IT"/>
        </w:rPr>
        <w:t xml:space="preserve">Në dëshmi të kësaj, të nënshkruarit, duke qenë rregullisht të autorizuar, kanë nënshkruar këtë Protokoll. </w:t>
      </w:r>
    </w:p>
    <w:p w:rsidR="00147D59" w:rsidRPr="00A15E1A" w:rsidRDefault="00147D59" w:rsidP="00147D59">
      <w:pPr>
        <w:ind w:firstLine="720"/>
        <w:jc w:val="both"/>
        <w:rPr>
          <w:rFonts w:ascii="CG Times" w:hAnsi="CG Times" w:cs="Arial"/>
          <w:color w:val="000000"/>
          <w:sz w:val="22"/>
          <w:szCs w:val="22"/>
          <w:lang w:val="it-IT"/>
        </w:rPr>
      </w:pPr>
    </w:p>
    <w:p w:rsidR="00147D59" w:rsidRPr="00A15E1A" w:rsidRDefault="00147D59" w:rsidP="00147D59">
      <w:pPr>
        <w:ind w:firstLine="720"/>
        <w:jc w:val="both"/>
        <w:rPr>
          <w:rFonts w:ascii="CG Times" w:hAnsi="CG Times" w:cs="Arial"/>
          <w:color w:val="000000"/>
          <w:sz w:val="22"/>
          <w:szCs w:val="22"/>
          <w:lang w:val="it-IT"/>
        </w:rPr>
      </w:pPr>
      <w:r w:rsidRPr="00A15E1A">
        <w:rPr>
          <w:rFonts w:ascii="CG Times" w:hAnsi="CG Times" w:cs="Arial"/>
          <w:color w:val="000000"/>
          <w:sz w:val="22"/>
          <w:szCs w:val="22"/>
          <w:lang w:val="it-IT"/>
        </w:rPr>
        <w:t xml:space="preserve">Bërë bë Strasburg, më 19 mars 1985 në anglisht dhe frengjisht, ku të dy tekstet janë njëlloj autentikë, në një kopje të vetme që depozitohet në arkivat e Këshillit të Europës. Sekretari i Përgjithshëm i këshillit të Europës i dërgon kopje të njësuara me origjinalin secilit Shtet Anëtar të Këshillit të Europës. </w:t>
      </w:r>
    </w:p>
    <w:p w:rsidR="00147D59" w:rsidRPr="00A15E1A" w:rsidRDefault="00147D59" w:rsidP="00147D59">
      <w:pPr>
        <w:tabs>
          <w:tab w:val="left" w:pos="-720"/>
          <w:tab w:val="left" w:pos="0"/>
          <w:tab w:val="left" w:pos="432"/>
          <w:tab w:val="left" w:pos="864"/>
          <w:tab w:val="left" w:pos="1296"/>
          <w:tab w:val="left" w:pos="1728"/>
          <w:tab w:val="left" w:pos="1980"/>
          <w:tab w:val="left" w:pos="2160"/>
        </w:tabs>
        <w:spacing w:line="312" w:lineRule="auto"/>
        <w:ind w:firstLine="720"/>
        <w:jc w:val="both"/>
        <w:rPr>
          <w:rFonts w:ascii="CG Times" w:hAnsi="CG Times" w:cs="Arial"/>
          <w:spacing w:val="-2"/>
          <w:kern w:val="2"/>
          <w:sz w:val="22"/>
          <w:szCs w:val="22"/>
          <w:lang w:val="it-IT"/>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147D59" w:rsidRDefault="00147D59" w:rsidP="00147D59">
      <w:pPr>
        <w:widowControl w:val="0"/>
        <w:ind w:firstLine="720"/>
        <w:outlineLvl w:val="6"/>
        <w:rPr>
          <w:rFonts w:ascii="CG Times" w:hAnsi="CG Times"/>
          <w:b/>
          <w:bCs/>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59"/>
    <w:rsid w:val="00147D59"/>
    <w:rsid w:val="009B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219DD-8BE6-4E04-A822-A4FBB0FE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7D59"/>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7D59"/>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147D59"/>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1171</Words>
  <Characters>6679</Characters>
  <Application>Microsoft Office Word</Application>
  <DocSecurity>0</DocSecurity>
  <Lines>55</Lines>
  <Paragraphs>15</Paragraphs>
  <ScaleCrop>false</ScaleCrop>
  <Company>AKSHI</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2024-05-15T10:07:00Z</dcterms:created>
  <dcterms:modified xsi:type="dcterms:W3CDTF">2024-05-15T10:07:00Z</dcterms:modified>
</cp:coreProperties>
</file>