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A4" w:rsidRPr="009F3AF7" w:rsidRDefault="00F35EA4" w:rsidP="00F35EA4">
      <w:pPr>
        <w:pStyle w:val="Akti"/>
        <w:rPr>
          <w:rFonts w:ascii="Garamond" w:hAnsi="Garamond"/>
          <w:color w:val="auto"/>
          <w:sz w:val="24"/>
          <w:szCs w:val="24"/>
        </w:rPr>
      </w:pPr>
      <w:bookmarkStart w:id="0" w:name="_GoBack"/>
      <w:r w:rsidRPr="009F3AF7">
        <w:rPr>
          <w:rFonts w:ascii="Garamond" w:hAnsi="Garamond"/>
          <w:color w:val="auto"/>
          <w:sz w:val="24"/>
          <w:szCs w:val="24"/>
        </w:rPr>
        <w:t>L I G J</w:t>
      </w:r>
    </w:p>
    <w:p w:rsidR="00F35EA4" w:rsidRPr="009F3AF7" w:rsidRDefault="00F35EA4" w:rsidP="00F35EA4">
      <w:pPr>
        <w:pStyle w:val="NumriData"/>
        <w:rPr>
          <w:rFonts w:ascii="Garamond" w:hAnsi="Garamond"/>
          <w:sz w:val="24"/>
          <w:szCs w:val="24"/>
        </w:rPr>
      </w:pPr>
      <w:r w:rsidRPr="009F3AF7">
        <w:rPr>
          <w:rFonts w:ascii="Garamond" w:hAnsi="Garamond"/>
          <w:sz w:val="24"/>
          <w:szCs w:val="24"/>
        </w:rPr>
        <w:t>Nr.</w:t>
      </w:r>
      <w:r w:rsidR="009B3450" w:rsidRPr="009F3AF7">
        <w:rPr>
          <w:rFonts w:ascii="Garamond" w:hAnsi="Garamond"/>
          <w:sz w:val="24"/>
          <w:szCs w:val="24"/>
        </w:rPr>
        <w:t xml:space="preserve"> </w:t>
      </w:r>
      <w:r w:rsidRPr="009F3AF7">
        <w:rPr>
          <w:rFonts w:ascii="Garamond" w:hAnsi="Garamond"/>
          <w:sz w:val="24"/>
          <w:szCs w:val="24"/>
        </w:rPr>
        <w:t>7908, datë 5.4.1995</w:t>
      </w:r>
    </w:p>
    <w:p w:rsidR="00F35EA4" w:rsidRPr="009F3AF7" w:rsidRDefault="00F35EA4" w:rsidP="00F35EA4">
      <w:pPr>
        <w:pStyle w:val="Paragrafi"/>
        <w:rPr>
          <w:rFonts w:ascii="Garamond" w:hAnsi="Garamond"/>
          <w:sz w:val="24"/>
          <w:szCs w:val="24"/>
        </w:rPr>
      </w:pPr>
    </w:p>
    <w:p w:rsidR="00F35EA4" w:rsidRPr="009F3AF7" w:rsidRDefault="00F35EA4" w:rsidP="00F35EA4">
      <w:pPr>
        <w:pStyle w:val="Titulli"/>
        <w:rPr>
          <w:rFonts w:ascii="Garamond" w:hAnsi="Garamond"/>
          <w:sz w:val="24"/>
          <w:szCs w:val="24"/>
        </w:rPr>
      </w:pPr>
      <w:r w:rsidRPr="009F3AF7">
        <w:rPr>
          <w:rFonts w:ascii="Garamond" w:hAnsi="Garamond"/>
          <w:sz w:val="24"/>
          <w:szCs w:val="24"/>
        </w:rPr>
        <w:t>PËR PESHKIMIN DHE AKUAKULTURËN</w:t>
      </w:r>
    </w:p>
    <w:p w:rsidR="00F35EA4" w:rsidRPr="009F3AF7" w:rsidRDefault="007F03B5" w:rsidP="004A230F">
      <w:pPr>
        <w:pStyle w:val="Paragrafi"/>
        <w:jc w:val="center"/>
        <w:rPr>
          <w:rFonts w:ascii="Garamond" w:hAnsi="Garamond"/>
          <w:i/>
          <w:sz w:val="24"/>
          <w:szCs w:val="24"/>
        </w:rPr>
      </w:pPr>
      <w:r w:rsidRPr="009F3AF7">
        <w:rPr>
          <w:rFonts w:ascii="Garamond" w:hAnsi="Garamond"/>
          <w:i/>
          <w:sz w:val="24"/>
          <w:szCs w:val="24"/>
        </w:rPr>
        <w:t>(Ndryshuar me ligjet</w:t>
      </w:r>
      <w:r w:rsidR="004A230F" w:rsidRPr="009F3AF7">
        <w:rPr>
          <w:rFonts w:ascii="Garamond" w:hAnsi="Garamond"/>
          <w:i/>
          <w:sz w:val="24"/>
          <w:szCs w:val="24"/>
        </w:rPr>
        <w:t xml:space="preserve"> nr. 8763, datë 2.4.2001</w:t>
      </w:r>
      <w:r w:rsidRPr="009F3AF7">
        <w:rPr>
          <w:rFonts w:ascii="Garamond" w:hAnsi="Garamond"/>
          <w:i/>
          <w:sz w:val="24"/>
          <w:szCs w:val="24"/>
        </w:rPr>
        <w:t>; nr. 8870, 21.3.2002</w:t>
      </w:r>
      <w:r w:rsidR="004A230F" w:rsidRPr="009F3AF7">
        <w:rPr>
          <w:rFonts w:ascii="Garamond" w:hAnsi="Garamond"/>
          <w:i/>
          <w:sz w:val="24"/>
          <w:szCs w:val="24"/>
        </w:rPr>
        <w:t>)</w:t>
      </w:r>
    </w:p>
    <w:p w:rsidR="004A230F" w:rsidRPr="009F3AF7" w:rsidRDefault="004A230F" w:rsidP="004A230F">
      <w:pPr>
        <w:pStyle w:val="Paragrafi"/>
        <w:jc w:val="right"/>
        <w:rPr>
          <w:rFonts w:ascii="Garamond" w:hAnsi="Garamond"/>
          <w:i/>
          <w:sz w:val="24"/>
          <w:szCs w:val="24"/>
        </w:rPr>
      </w:pPr>
      <w:r w:rsidRPr="009F3AF7">
        <w:rPr>
          <w:rFonts w:ascii="Garamond" w:hAnsi="Garamond"/>
          <w:i/>
          <w:sz w:val="24"/>
          <w:szCs w:val="24"/>
        </w:rPr>
        <w:t>(i përditësuar)</w:t>
      </w:r>
    </w:p>
    <w:p w:rsidR="004A230F" w:rsidRPr="009F3AF7" w:rsidRDefault="004A230F" w:rsidP="00F35EA4">
      <w:pPr>
        <w:pStyle w:val="Paragrafi"/>
        <w:rPr>
          <w:rFonts w:ascii="Garamond" w:hAnsi="Garamond"/>
          <w:sz w:val="24"/>
          <w:szCs w:val="24"/>
        </w:rPr>
      </w:pPr>
    </w:p>
    <w:p w:rsidR="00F35EA4" w:rsidRPr="009F3AF7" w:rsidRDefault="00F35EA4" w:rsidP="00F35EA4">
      <w:pPr>
        <w:pStyle w:val="BazLigjPropozues"/>
        <w:rPr>
          <w:rFonts w:ascii="Garamond" w:hAnsi="Garamond"/>
          <w:color w:val="auto"/>
          <w:sz w:val="24"/>
          <w:szCs w:val="24"/>
        </w:rPr>
      </w:pPr>
      <w:r w:rsidRPr="009F3AF7">
        <w:rPr>
          <w:rFonts w:ascii="Garamond" w:hAnsi="Garamond"/>
          <w:color w:val="auto"/>
          <w:sz w:val="24"/>
          <w:szCs w:val="24"/>
        </w:rPr>
        <w:t>Në mbështetje të nenit 16 të ligjit nr.</w:t>
      </w:r>
      <w:r w:rsidR="009B3450" w:rsidRPr="009F3AF7">
        <w:rPr>
          <w:rFonts w:ascii="Garamond" w:hAnsi="Garamond"/>
          <w:color w:val="auto"/>
          <w:sz w:val="24"/>
          <w:szCs w:val="24"/>
        </w:rPr>
        <w:t xml:space="preserve"> </w:t>
      </w:r>
      <w:r w:rsidRPr="009F3AF7">
        <w:rPr>
          <w:rFonts w:ascii="Garamond" w:hAnsi="Garamond"/>
          <w:color w:val="auto"/>
          <w:sz w:val="24"/>
          <w:szCs w:val="24"/>
        </w:rPr>
        <w:t>7491, datë 29.4.1991 “Për dispozitat kryesore kushtetuese”, me propozimin e Këshillit të Ministrave,</w:t>
      </w:r>
    </w:p>
    <w:p w:rsidR="00F35EA4" w:rsidRPr="009F3AF7" w:rsidRDefault="00F35EA4" w:rsidP="00F35EA4">
      <w:pPr>
        <w:pStyle w:val="Paragrafi"/>
        <w:rPr>
          <w:rFonts w:ascii="Garamond" w:hAnsi="Garamond"/>
          <w:sz w:val="24"/>
          <w:szCs w:val="24"/>
        </w:rPr>
      </w:pPr>
    </w:p>
    <w:p w:rsidR="00F35EA4" w:rsidRPr="009F3AF7" w:rsidRDefault="00F35EA4" w:rsidP="00F35EA4">
      <w:pPr>
        <w:pStyle w:val="Institucioni"/>
        <w:rPr>
          <w:rFonts w:ascii="Garamond" w:hAnsi="Garamond"/>
          <w:sz w:val="24"/>
          <w:szCs w:val="24"/>
        </w:rPr>
      </w:pPr>
      <w:r w:rsidRPr="009F3AF7">
        <w:rPr>
          <w:rFonts w:ascii="Garamond" w:hAnsi="Garamond"/>
          <w:sz w:val="24"/>
          <w:szCs w:val="24"/>
        </w:rPr>
        <w:t>KUVENDI POPULLOR</w:t>
      </w:r>
    </w:p>
    <w:p w:rsidR="00F35EA4" w:rsidRPr="009F3AF7" w:rsidRDefault="00F35EA4" w:rsidP="00F35EA4">
      <w:pPr>
        <w:pStyle w:val="Institucioni"/>
        <w:rPr>
          <w:rFonts w:ascii="Garamond" w:hAnsi="Garamond"/>
          <w:sz w:val="24"/>
          <w:szCs w:val="24"/>
        </w:rPr>
      </w:pPr>
      <w:r w:rsidRPr="009F3AF7">
        <w:rPr>
          <w:rFonts w:ascii="Garamond" w:hAnsi="Garamond"/>
          <w:sz w:val="24"/>
          <w:szCs w:val="24"/>
        </w:rPr>
        <w:t>I REPUBLIKËS SË SHQIPËRISË</w:t>
      </w:r>
    </w:p>
    <w:p w:rsidR="00F35EA4" w:rsidRPr="009F3AF7" w:rsidRDefault="00F35EA4" w:rsidP="00F35EA4">
      <w:pPr>
        <w:pStyle w:val="Paragrafi"/>
        <w:rPr>
          <w:rFonts w:ascii="Garamond" w:hAnsi="Garamond"/>
          <w:sz w:val="24"/>
          <w:szCs w:val="24"/>
        </w:rPr>
      </w:pPr>
    </w:p>
    <w:p w:rsidR="00F35EA4" w:rsidRPr="009F3AF7" w:rsidRDefault="00F35EA4" w:rsidP="00F35EA4">
      <w:pPr>
        <w:pStyle w:val="VENDOSI"/>
        <w:rPr>
          <w:rFonts w:ascii="Garamond" w:hAnsi="Garamond"/>
          <w:sz w:val="24"/>
          <w:szCs w:val="24"/>
        </w:rPr>
      </w:pPr>
      <w:r w:rsidRPr="009F3AF7">
        <w:rPr>
          <w:rFonts w:ascii="Garamond" w:hAnsi="Garamond"/>
          <w:sz w:val="24"/>
          <w:szCs w:val="24"/>
        </w:rPr>
        <w:t>V E N D O S I:</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I</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DISPOZITA TË PËRGJITHSHME</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lang w:val="sq-AL"/>
        </w:rPr>
      </w:pPr>
      <w:r w:rsidRPr="009F3AF7">
        <w:rPr>
          <w:rFonts w:ascii="Garamond" w:hAnsi="Garamond"/>
          <w:sz w:val="24"/>
          <w:szCs w:val="24"/>
        </w:rPr>
        <w:t>Neni 1</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Sfera e zbatimit të ligjit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Ky ligj zbatohet në veprimtarinë e peshkimit dhe të akuakulturës që ushtrohet në ujërat dhe territorin e Republikës së Shqipërisë.</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Objekti</w:t>
      </w:r>
    </w:p>
    <w:p w:rsidR="00F35EA4" w:rsidRPr="009F3AF7" w:rsidRDefault="003B69B4" w:rsidP="007F03B5">
      <w:pPr>
        <w:pStyle w:val="Paragrafi"/>
        <w:jc w:val="center"/>
        <w:rPr>
          <w:rFonts w:ascii="Garamond" w:hAnsi="Garamond"/>
          <w:i/>
          <w:sz w:val="24"/>
          <w:szCs w:val="24"/>
        </w:rPr>
      </w:pPr>
      <w:r w:rsidRPr="009F3AF7">
        <w:rPr>
          <w:rFonts w:ascii="Garamond" w:hAnsi="Garamond"/>
          <w:i/>
          <w:sz w:val="24"/>
          <w:szCs w:val="24"/>
        </w:rPr>
        <w:t>(Ndryshuar s</w:t>
      </w:r>
      <w:r w:rsidRPr="009F3AF7">
        <w:rPr>
          <w:rFonts w:ascii="Garamond" w:hAnsi="Garamond"/>
          <w:i/>
          <w:sz w:val="24"/>
          <w:szCs w:val="24"/>
        </w:rPr>
        <w:t xml:space="preserve">hkronja "b" </w:t>
      </w:r>
      <w:r w:rsidRPr="009F3AF7">
        <w:rPr>
          <w:rFonts w:ascii="Garamond" w:hAnsi="Garamond"/>
          <w:i/>
          <w:sz w:val="24"/>
          <w:szCs w:val="24"/>
        </w:rPr>
        <w:t>dhe shtuar shkronja</w:t>
      </w:r>
      <w:r w:rsidRPr="009F3AF7">
        <w:rPr>
          <w:rFonts w:ascii="Garamond" w:hAnsi="Garamond"/>
          <w:i/>
          <w:sz w:val="24"/>
          <w:szCs w:val="24"/>
        </w:rPr>
        <w:t xml:space="preserve"> "dh" </w:t>
      </w:r>
      <w:r w:rsidRPr="009F3AF7">
        <w:rPr>
          <w:rFonts w:ascii="Garamond" w:hAnsi="Garamond"/>
          <w:i/>
          <w:sz w:val="24"/>
          <w:szCs w:val="24"/>
        </w:rPr>
        <w:t xml:space="preserve">me ligjin </w:t>
      </w:r>
      <w:r w:rsidR="007F03B5" w:rsidRPr="009F3AF7">
        <w:rPr>
          <w:rFonts w:ascii="Garamond" w:hAnsi="Garamond"/>
          <w:i/>
          <w:sz w:val="24"/>
          <w:szCs w:val="24"/>
        </w:rPr>
        <w:t>nr. 8870, 21.3.2002)</w:t>
      </w:r>
    </w:p>
    <w:p w:rsidR="007F03B5" w:rsidRPr="009F3AF7" w:rsidRDefault="007F03B5" w:rsidP="007F03B5">
      <w:pPr>
        <w:pStyle w:val="Paragrafi"/>
        <w:jc w:val="center"/>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Dispozitat e këtij ligji kanë për qëllim:</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të sigurojnë një shfrytëzim racional dhe të përgjegjshëm të resurseve biologjike ujore dhe zhvillimin e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b) </w:t>
      </w:r>
      <w:r w:rsidR="007F03B5" w:rsidRPr="009F3AF7">
        <w:rPr>
          <w:rFonts w:ascii="Garamond" w:hAnsi="Garamond"/>
          <w:sz w:val="24"/>
          <w:szCs w:val="24"/>
        </w:rPr>
        <w:t>Të organizojë menaxhimin në sektorët e peshkimit dhe të akuakulturës nëpërmjet përfshirjes së komuniteteve të peshkimit në proceset e vendimmarrjes dhe të bashkëmena</w:t>
      </w:r>
      <w:r w:rsidR="007F03B5" w:rsidRPr="009F3AF7">
        <w:rPr>
          <w:rFonts w:ascii="Garamond" w:hAnsi="Garamond"/>
          <w:sz w:val="24"/>
          <w:szCs w:val="24"/>
        </w:rPr>
        <w:t>xhimit të burimeve të peshkimit</w:t>
      </w:r>
      <w:r w:rsidRPr="009F3AF7">
        <w:rPr>
          <w:rFonts w:ascii="Garamond" w:hAnsi="Garamond"/>
          <w:sz w:val="24"/>
          <w:szCs w:val="24"/>
        </w:rPr>
        <w: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të sigurojnë masat e ruajtjes (konservimit) për të garantuar tutelën e resurseve biologjike ujore;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të sigurojnë një zhvillim të qëndrueshëm të sektorit të peshkimit dhe akuakulturës, si dhe kushte të mira socialekonomike për prodhuesit;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të sigurojnë kërkesat e konsumatorit për futjen në treg të prodhimeve iktike të përshtatshme për konsum njerëzor;</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dh) të nxitin e ndikojnë në kërkimin shkencor e teknologjik në sektorët e peshkimit dhe të akuakulturës.</w:t>
      </w:r>
    </w:p>
    <w:p w:rsidR="003B69B4" w:rsidRPr="009F3AF7" w:rsidRDefault="003B69B4" w:rsidP="003B69B4">
      <w:pPr>
        <w:pStyle w:val="Paragrafi"/>
        <w:rPr>
          <w:rFonts w:ascii="Garamond" w:hAnsi="Garamond"/>
          <w:sz w:val="24"/>
          <w:szCs w:val="24"/>
        </w:rPr>
      </w:pPr>
      <w:r w:rsidRPr="009F3AF7">
        <w:rPr>
          <w:rFonts w:ascii="Garamond" w:hAnsi="Garamond"/>
          <w:sz w:val="24"/>
          <w:szCs w:val="24"/>
        </w:rPr>
        <w:t>e) Të sigurojë funksionimin dhe menaxhimin e porteve dhe të qendrave të pe</w:t>
      </w:r>
      <w:r w:rsidRPr="009F3AF7">
        <w:rPr>
          <w:rFonts w:ascii="Garamond" w:hAnsi="Garamond"/>
          <w:sz w:val="24"/>
          <w:szCs w:val="24"/>
        </w:rPr>
        <w:t>shkimit.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Përkufizime</w:t>
      </w:r>
    </w:p>
    <w:p w:rsidR="00E24DAB" w:rsidRPr="009F3AF7" w:rsidRDefault="00E24DAB" w:rsidP="00E24DAB">
      <w:pPr>
        <w:pStyle w:val="Paragrafi"/>
        <w:jc w:val="center"/>
        <w:rPr>
          <w:rFonts w:ascii="Garamond" w:hAnsi="Garamond"/>
          <w:i/>
          <w:sz w:val="24"/>
          <w:szCs w:val="24"/>
        </w:rPr>
      </w:pPr>
      <w:r w:rsidRPr="009F3AF7">
        <w:rPr>
          <w:rFonts w:ascii="Garamond" w:hAnsi="Garamond"/>
          <w:i/>
          <w:sz w:val="24"/>
          <w:szCs w:val="24"/>
        </w:rPr>
        <w:t xml:space="preserve">(Shtuar </w:t>
      </w:r>
      <w:r w:rsidRPr="009F3AF7">
        <w:rPr>
          <w:rFonts w:ascii="Garamond" w:hAnsi="Garamond"/>
          <w:i/>
          <w:sz w:val="24"/>
          <w:szCs w:val="24"/>
        </w:rPr>
        <w:t>shkronjat</w:t>
      </w:r>
      <w:r w:rsidRPr="009F3AF7">
        <w:rPr>
          <w:rFonts w:ascii="Garamond" w:hAnsi="Garamond"/>
          <w:i/>
          <w:sz w:val="24"/>
          <w:szCs w:val="24"/>
        </w:rPr>
        <w:t xml:space="preserve"> “gj’’, ‘’h’’, “i’’, “j”, “k” </w:t>
      </w:r>
      <w:r w:rsidRPr="009F3AF7">
        <w:rPr>
          <w:rFonts w:ascii="Garamond" w:hAnsi="Garamond"/>
          <w:i/>
          <w:sz w:val="24"/>
          <w:szCs w:val="24"/>
        </w:rPr>
        <w:t>me ligjin nr. 8870, 21.3.2002)</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Në kuptim të këtij ligji dhe për aktet nënligjore për zbatimin e tij: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a) në ujëra të Republikës së Shqipërisë “përfshihen ujërat detare territoriale dhe çdo zonë tjetër detare e rezervuar ekskluzivisht për Republikën e Shqipërisë, në bazë të ligjit e të së drejtës </w:t>
      </w:r>
      <w:r w:rsidRPr="009F3AF7">
        <w:rPr>
          <w:rFonts w:ascii="Garamond" w:hAnsi="Garamond"/>
          <w:sz w:val="24"/>
          <w:szCs w:val="24"/>
        </w:rPr>
        <w:lastRenderedPageBreak/>
        <w:t>ndërkombëtare, sikurse edhe lumenjtë, liqenet, lagunat, banesat hidrograrfike dhe ujërat e tjera që ndodhen në territorin e Republikës;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me “peshkim” kuptohet çdo veprimtari e drejtuar për zënien ose grumbullimin e organizmave ujorë, përveç atyre që rezultojnë nga veprimtaritë e akuakulturës, pavarësisht nga mjetet e përdorura dhe synimet e arritura;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me “peshkim profesional” kuptohet peshkimi që kryhet kryesisht për qëllime të shfrytëzimit ekonomik, dhe me “peshkim sportiv” kuptohet peshkimi që kryhet për qëllime çlodhëse e dëfryese;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me “akuakulturë” kuptohet mbarështimi (kultivimi) i organizmave ujorë, i drejtuar për shfrytëzimin e tyre ekonomik;</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me “organizma ujorë” kuptohen organizmat e gjallë ose jo, shtazorë a bimorë, të ngrënshëm a të pangrënshëm që kanë ujin si mjedis të zakonshëm ose natyror jetese, ku përfshihen peshqit, krustcete, molusket, koralet, sfungjerët, amfibët, reptilët ujorë (maniferët) gjitarët ujorë, si dhe vezët, lavrat e rasatet e tyre ose prodhime të tjera natyrore, me përjashtim të shpendëve;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dh) me “mjet lundrues” kuptohet çdo lloj anije (barkë) ose galexhant tjetër i përshtatshëm për lundrim;</w:t>
      </w:r>
    </w:p>
    <w:p w:rsidR="00F35EA4" w:rsidRPr="009F3AF7" w:rsidRDefault="00F35EA4" w:rsidP="00F35EA4">
      <w:pPr>
        <w:pStyle w:val="Paragrafi"/>
        <w:rPr>
          <w:rFonts w:ascii="Garamond" w:hAnsi="Garamond"/>
          <w:sz w:val="24"/>
          <w:szCs w:val="24"/>
        </w:rPr>
      </w:pPr>
      <w:r w:rsidRPr="009F3AF7">
        <w:rPr>
          <w:rFonts w:ascii="Garamond" w:hAnsi="Garamond"/>
          <w:sz w:val="24"/>
          <w:szCs w:val="24"/>
        </w:rPr>
        <w:t>e) me “mjet lundrues shqiptar” kuptohet çdo lloj mjeti lundures në pronësi të: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një personi fizik me shtetësi shqiptare dhe me banim në Shqipëri;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një personi juridik, krijuar në republikën e Shqipërisë sipas ligjeve në fuqi;</w:t>
      </w:r>
    </w:p>
    <w:p w:rsidR="009C6107" w:rsidRPr="009F3AF7" w:rsidRDefault="00F35EA4" w:rsidP="00F35EA4">
      <w:pPr>
        <w:pStyle w:val="Paragrafi"/>
        <w:rPr>
          <w:rFonts w:ascii="Garamond" w:hAnsi="Garamond"/>
          <w:sz w:val="24"/>
          <w:szCs w:val="24"/>
        </w:rPr>
      </w:pPr>
      <w:r w:rsidRPr="009F3AF7">
        <w:rPr>
          <w:rFonts w:ascii="Garamond" w:hAnsi="Garamond"/>
          <w:sz w:val="24"/>
          <w:szCs w:val="24"/>
        </w:rPr>
        <w:t>- një enti të ndryshëm nga një person juridik, ku përfshihen ekskluzivisht persona fizikë me shtetësi shqiptare dhe me banim në Shqipëri;</w:t>
      </w:r>
    </w:p>
    <w:p w:rsidR="00F35EA4" w:rsidRPr="009F3AF7" w:rsidRDefault="00F35EA4" w:rsidP="009C6107">
      <w:pPr>
        <w:pStyle w:val="Paragrafi"/>
        <w:ind w:firstLine="0"/>
        <w:rPr>
          <w:rFonts w:ascii="Garamond" w:hAnsi="Garamond"/>
          <w:sz w:val="24"/>
          <w:szCs w:val="24"/>
        </w:rPr>
      </w:pPr>
      <w:r w:rsidRPr="009F3AF7">
        <w:rPr>
          <w:rFonts w:ascii="Garamond" w:hAnsi="Garamond"/>
          <w:sz w:val="24"/>
          <w:szCs w:val="24"/>
        </w:rPr>
        <w:t>dhe e regjistruar në Shqipëri sipas ligjeve e rregullave në fuqi;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ë) me “mjet lundrues të huaj” kuptohet çdo mjet lundrues i ndryshëm nga ai i përcaktuar në gërmën “e”;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f) me “subjekt të huaj” kuptohet çdo person fizik me shtetësi jo shqiptare ose person juridik që është themeluar sipas ligjit të një vendi të huaj;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g) me “ministri” dhe “ministër” kuptohet përkatësisht ministri dhe Ministria që ka në varësi sektorin e peshkimit dhe të akuakulturës.</w:t>
      </w:r>
    </w:p>
    <w:p w:rsidR="00E24DAB" w:rsidRPr="009F3AF7" w:rsidRDefault="00E24DAB" w:rsidP="00E24DAB">
      <w:pPr>
        <w:pStyle w:val="Paragrafi"/>
        <w:rPr>
          <w:rFonts w:ascii="Garamond" w:hAnsi="Garamond"/>
          <w:sz w:val="24"/>
          <w:szCs w:val="24"/>
        </w:rPr>
      </w:pPr>
      <w:r w:rsidRPr="009F3AF7">
        <w:rPr>
          <w:rFonts w:ascii="Garamond" w:hAnsi="Garamond"/>
          <w:sz w:val="24"/>
          <w:szCs w:val="24"/>
        </w:rPr>
        <w:t>gj) Me "Organizatë" kuptohet Organizata e Menaxhimit të Peshkimit, e krijuar sipas nenit 26 të Kodit Civil të Republikës së Shqipërisë dhe të nenit 31/1 të këtij ligji;</w:t>
      </w:r>
    </w:p>
    <w:p w:rsidR="00E24DAB" w:rsidRPr="009F3AF7" w:rsidRDefault="00E24DAB" w:rsidP="00E24DAB">
      <w:pPr>
        <w:pStyle w:val="Paragrafi"/>
        <w:rPr>
          <w:rFonts w:ascii="Garamond" w:hAnsi="Garamond"/>
          <w:sz w:val="24"/>
          <w:szCs w:val="24"/>
        </w:rPr>
      </w:pPr>
      <w:r w:rsidRPr="009F3AF7">
        <w:rPr>
          <w:rFonts w:ascii="Garamond" w:hAnsi="Garamond"/>
          <w:sz w:val="24"/>
          <w:szCs w:val="24"/>
        </w:rPr>
        <w:t>h) Me "Port peshkimi" kuptohet një port ose liman që përdoret për peshkim, përfshirë edhe sjelljen në tokë nga mjetet e lundrimit të organizmave ujorë, apo një zonë e përcaktuar brenda një porti tregtar, që përdoret për qëllime të tilla, së bashku me tokën, ndërtesat dhe strukturën përkatëse.</w:t>
      </w:r>
    </w:p>
    <w:p w:rsidR="00E24DAB" w:rsidRPr="009F3AF7" w:rsidRDefault="00E24DAB" w:rsidP="00E24DAB">
      <w:pPr>
        <w:pStyle w:val="Paragrafi"/>
        <w:rPr>
          <w:rFonts w:ascii="Garamond" w:hAnsi="Garamond"/>
          <w:sz w:val="24"/>
          <w:szCs w:val="24"/>
        </w:rPr>
      </w:pPr>
      <w:r w:rsidRPr="009F3AF7">
        <w:rPr>
          <w:rFonts w:ascii="Garamond" w:hAnsi="Garamond"/>
          <w:sz w:val="24"/>
          <w:szCs w:val="24"/>
        </w:rPr>
        <w:t>i) Me "Qendër peshkimi" kuptohet një mol, steré, urë në det, valëpritëse ose bankinë, në det ose në ujërat e brendshme, që përdoret për qëllime peshkimi, përfshirë edhe sjelljen në tokë nga mjetet lundruese të organizmave ujorë, së bashku me tokën, ndërtesat dhe strukturat përkatëse.</w:t>
      </w:r>
    </w:p>
    <w:p w:rsidR="00E24DAB" w:rsidRPr="009F3AF7" w:rsidRDefault="00E24DAB" w:rsidP="00E24DAB">
      <w:pPr>
        <w:pStyle w:val="Paragrafi"/>
        <w:rPr>
          <w:rFonts w:ascii="Garamond" w:hAnsi="Garamond"/>
          <w:sz w:val="24"/>
          <w:szCs w:val="24"/>
        </w:rPr>
      </w:pPr>
      <w:r w:rsidRPr="009F3AF7">
        <w:rPr>
          <w:rFonts w:ascii="Garamond" w:hAnsi="Garamond"/>
          <w:sz w:val="24"/>
          <w:szCs w:val="24"/>
        </w:rPr>
        <w:t>j) Me "Zonë bashkëmenaxhimi" kuptohet një zonë e peshkimit, e caktuar sipas nenit 31/14 të këtij ligji, ku të paktën një organizatë e menaxhimit të peshkimit merr pjesë në menaxhimin e burimeve të peshkimit.</w:t>
      </w:r>
    </w:p>
    <w:p w:rsidR="00F35EA4" w:rsidRPr="009F3AF7" w:rsidRDefault="00E24DAB" w:rsidP="00E24DAB">
      <w:pPr>
        <w:pStyle w:val="Paragrafi"/>
        <w:rPr>
          <w:rFonts w:ascii="Garamond" w:hAnsi="Garamond"/>
          <w:sz w:val="24"/>
          <w:szCs w:val="24"/>
        </w:rPr>
      </w:pPr>
      <w:r w:rsidRPr="009F3AF7">
        <w:rPr>
          <w:rFonts w:ascii="Garamond" w:hAnsi="Garamond"/>
          <w:sz w:val="24"/>
          <w:szCs w:val="24"/>
        </w:rPr>
        <w:t>k) Me "Plan bashkëmenaxhimi" kuptohet një plan për menaxhimin e zonës së bashkëmenaxhimit të peshkimit, që përgatitet në përputhje me dispozitat e pikës 3 të nenit 31/15 të këtij ligji.</w:t>
      </w:r>
    </w:p>
    <w:p w:rsidR="00F35EA4" w:rsidRPr="009F3AF7" w:rsidRDefault="00F35EA4" w:rsidP="00F35EA4">
      <w:pPr>
        <w:pStyle w:val="KreuNr"/>
        <w:rPr>
          <w:rFonts w:ascii="Garamond" w:hAnsi="Garamond"/>
          <w:sz w:val="24"/>
          <w:szCs w:val="24"/>
        </w:rPr>
      </w:pPr>
      <w:r w:rsidRPr="009F3AF7">
        <w:rPr>
          <w:rFonts w:ascii="Garamond" w:hAnsi="Garamond"/>
          <w:sz w:val="24"/>
          <w:szCs w:val="24"/>
        </w:rPr>
        <w:t>KREU II</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ORGANET KONSULTATIVE</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Komisioni konsultativ qendror për peshkimin dhe akuakulturën</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Pranë Ministrisë ngrihet Komisioni konsultativ qendror për peshikimin dhe akuakulturën, si organ konsultativ i ministrit në lëmin e peshkimit dhe të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lastRenderedPageBreak/>
        <w:t>2. Tërheqja e mendimit të Komisionit është e detyrueshme për problemet që lidhen me shqyrtimin e ligjeve dhe të akteve nënligjore të peshkimit e akuakulturës dhe propozimet për ndryshime të mundshme të tyre, si dhe me përshtatjen e planeve të peshkimit (neni 8, 9, 10).</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5</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Përbërja e Komisionit konsultativ qendror për peshkimin dhe akuakulturën</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Komisioni konsultativ qendror për peshkimin dhe akuakulturën kryesohet nga ministri, ka në përbërje përfaqësues të Drejtorisë së peshkimit, të drejtorive të tjera të ministrisë e të ministrive të tjera të interesuara, si dhe përfaqësues të veprimtarive prodhuese dhe eksperte në lëmin e peshkimit e të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Anëtarët e Komisionit caktohen nga ministri për një afat trevjeçar.</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Drejtori i Drejtorisë së peshkimit pranë ministrisë kryen funksionet e nënkryetarit të Komisionit, kurse një funksionar i po kësaj drejtorie kryen funksionet e sekretarit.</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6</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Komisionet konsultative lokale për peshkimin dhe akuakulturën</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Pranë autoriteteve administrative lokale, atje ku shihet e nevojshme, krijohen komisionet konsultative lokale për peshkimin dhe akuakulturën.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Komisionet lokale japin mendimet për çështjet e peshkimit dhe akuakulturës në njësitë e tyre administrative, sa herë që ministri ose Komisioni konsultativ qendror e konsiderojnë të nevojshme.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Ministri vendos për lokalizimin e komisioneve lokale, përcakton përbërjen e tyre, si dhe emëron kryetarin e çdo komisioni.</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7</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Komisioni për koordinimin e kërkimit shkencor dhe teknologjik</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Pranë ministrisë krijohet komisioni për koordinimin e kërkimit shkencor e teknologjik të aplikuar në peshkim dhne akuakulturë.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Anëtarët e komisionit caktohen nga ministri.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Komisioni jep mendime për çështje që lidhen me studimet e kërkimet me interes shkencor, teknik, statik dhe ekonomik për peshkimin e akuakulturën.</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III</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NORMAT E PROGRAMIMIT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8</w:t>
      </w:r>
    </w:p>
    <w:p w:rsidR="00F35EA4" w:rsidRPr="009F3AF7" w:rsidRDefault="00F35EA4" w:rsidP="009C6107">
      <w:pPr>
        <w:pStyle w:val="NeniTitull"/>
        <w:rPr>
          <w:rFonts w:ascii="Garamond" w:hAnsi="Garamond"/>
          <w:sz w:val="24"/>
          <w:szCs w:val="24"/>
        </w:rPr>
      </w:pPr>
      <w:r w:rsidRPr="009F3AF7">
        <w:rPr>
          <w:rFonts w:ascii="Garamond" w:hAnsi="Garamond"/>
          <w:sz w:val="24"/>
          <w:szCs w:val="24"/>
        </w:rPr>
        <w:t>Plani i administrimit të peshkimit dhe akuakulturës</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Plani i administrimit të peshkimit dhe akuakulturës përshtatet (rishikohet) periodikisht dhe përmirësohet në përputhje me normat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Ky plan përpunohet e përgatitet nga Drejtoria e peshkimit pranë ministrisë, merret pëlqimi i Komisionit qendror për peshkimin dhe akuakulturën dhe miratohet nga ministri.</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9</w:t>
      </w:r>
    </w:p>
    <w:p w:rsidR="00F35EA4" w:rsidRPr="009F3AF7" w:rsidRDefault="00F35EA4" w:rsidP="009C6107">
      <w:pPr>
        <w:pStyle w:val="NeniTitull"/>
        <w:rPr>
          <w:rFonts w:ascii="Garamond" w:hAnsi="Garamond"/>
          <w:sz w:val="24"/>
          <w:szCs w:val="24"/>
        </w:rPr>
      </w:pPr>
      <w:r w:rsidRPr="009F3AF7">
        <w:rPr>
          <w:rFonts w:ascii="Garamond" w:hAnsi="Garamond"/>
          <w:sz w:val="24"/>
          <w:szCs w:val="24"/>
        </w:rPr>
        <w:t>Plani i zhvillimit të peshkimit dhe akuakulturës</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Plani i zhvillimit të peshkimit dhe akuakulturës është objekt i veçantë i buxhetit të shtetit.</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lastRenderedPageBreak/>
        <w:t>KREU IV</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KËRKIMI SHKENCOR</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10</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Autorizimi për kërkimin</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Veprimtaria kërkimore në lëmin e peshkimit dhe të akuakulturës në ujërat e Republikës së Shqipërisë bëhet me autorizimin e ministrisë mbi bazën e mendimit të komisionit për koordinimin e kërkimit shkencor dhe teknologjik.</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11</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Entet e njohura të kërkimit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Ministria mund të njohë si ent kërkimi çfarëdo subjekt privat që bën kërkesën, në bazë të verifikimit të kualifikimit dhe kapacitetit të tyre.</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V</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TË USHTRUARIT E VEPRIMTARISË SË PESHKIMIT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12</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Regjistri i peshkatarëve profesionistë</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Ministria krijon një regjistër të peshkatarëve profesionistë pranë zyrave të përcaktuara prej saj dhe cilido që kërkon të zhvillojë veprimtarinë e peshkimit profesional, detyrohet të bëjë regjistrimin me regjistrin e peshkatarëve profesionistë, atestohet dhe pajiset me certifikatën përkatëse.</w:t>
      </w:r>
    </w:p>
    <w:p w:rsidR="00F35EA4" w:rsidRPr="009F3AF7" w:rsidRDefault="00F35EA4" w:rsidP="00F35EA4">
      <w:pPr>
        <w:pStyle w:val="NeniNr"/>
        <w:rPr>
          <w:rFonts w:ascii="Garamond" w:hAnsi="Garamond"/>
          <w:sz w:val="24"/>
          <w:szCs w:val="24"/>
        </w:rPr>
      </w:pPr>
      <w:r w:rsidRPr="009F3AF7">
        <w:rPr>
          <w:rFonts w:ascii="Garamond" w:hAnsi="Garamond"/>
          <w:sz w:val="24"/>
          <w:szCs w:val="24"/>
        </w:rPr>
        <w:t>Neni 13</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Regjistri i mjeteve lundruese të peshkimit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Ministria krijon një regjistër të mjeteve lundruese të peshkimit pranë zyrave ose organeve të përcaktuara prej saj.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Çfarëdolloj mjeti lundrues që përdoret për peshkim profesional, duhet të regjistrohet në regjistrin e mjeteve lundruese të peshkimit.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14</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Rregullimi i pragut të peshkimit</w:t>
      </w:r>
    </w:p>
    <w:p w:rsidR="00962D08" w:rsidRPr="009F3AF7" w:rsidRDefault="00962D08" w:rsidP="00962D08">
      <w:pPr>
        <w:pStyle w:val="Paragrafi"/>
        <w:jc w:val="center"/>
        <w:rPr>
          <w:rFonts w:ascii="Garamond" w:hAnsi="Garamond"/>
          <w:i/>
          <w:sz w:val="24"/>
          <w:szCs w:val="24"/>
        </w:rPr>
      </w:pPr>
      <w:r w:rsidRPr="009F3AF7">
        <w:rPr>
          <w:rFonts w:ascii="Garamond" w:hAnsi="Garamond"/>
          <w:i/>
          <w:sz w:val="24"/>
          <w:szCs w:val="24"/>
        </w:rPr>
        <w:t xml:space="preserve">(Shtuar fjali në pikën 1 </w:t>
      </w:r>
      <w:r w:rsidRPr="009F3AF7">
        <w:rPr>
          <w:rFonts w:ascii="Garamond" w:hAnsi="Garamond"/>
          <w:i/>
          <w:sz w:val="24"/>
          <w:szCs w:val="24"/>
        </w:rPr>
        <w:t>me ligjin nr. 8870, 21.3.2002)</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Numri maksimal i licensave të peshkimit dhe të akuakulturës përcaktohet çdo vit nga Ministria sipas planit të administrimit të peshkimit dhe të akuakulturës.</w:t>
      </w:r>
      <w:r w:rsidR="00962D08" w:rsidRPr="009F3AF7">
        <w:rPr>
          <w:rFonts w:ascii="Garamond" w:hAnsi="Garamond"/>
          <w:sz w:val="24"/>
          <w:szCs w:val="24"/>
        </w:rPr>
        <w:t xml:space="preserve"> </w:t>
      </w:r>
      <w:r w:rsidR="00962D08" w:rsidRPr="009F3AF7">
        <w:rPr>
          <w:rFonts w:ascii="Garamond" w:hAnsi="Garamond"/>
          <w:sz w:val="24"/>
          <w:szCs w:val="24"/>
        </w:rPr>
        <w:t>Numri maksimal i licencave të peshkimit dhe të akuakulturës, që jepen për një zonë bashkëmenaxhimi, përcaktohet në planin përkatës të bashkëmenaxhimit.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Ministri mund të modifikojë numrin e licencave edhe në kundërshtim me treguesit e planit të administrimit të peshkimit dhe akuakulturës mbi bazën e motiveve të specifikuara e të argumentuara.</w:t>
      </w:r>
    </w:p>
    <w:p w:rsidR="00F35EA4" w:rsidRPr="009F3AF7" w:rsidRDefault="00F35EA4" w:rsidP="00F35EA4">
      <w:pPr>
        <w:pStyle w:val="NeniNr"/>
        <w:rPr>
          <w:rFonts w:ascii="Garamond" w:hAnsi="Garamond"/>
          <w:sz w:val="24"/>
          <w:szCs w:val="24"/>
        </w:rPr>
      </w:pPr>
      <w:r w:rsidRPr="009F3AF7">
        <w:rPr>
          <w:rFonts w:ascii="Garamond" w:hAnsi="Garamond"/>
          <w:sz w:val="24"/>
          <w:szCs w:val="24"/>
        </w:rPr>
        <w:t>Neni 15</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Licenca e peshkimit profesional</w:t>
      </w:r>
    </w:p>
    <w:p w:rsidR="00962D08" w:rsidRPr="009F3AF7" w:rsidRDefault="0060081F" w:rsidP="00962D08">
      <w:pPr>
        <w:pStyle w:val="Paragrafi"/>
        <w:jc w:val="center"/>
        <w:rPr>
          <w:rFonts w:ascii="Garamond" w:hAnsi="Garamond"/>
          <w:i/>
          <w:sz w:val="24"/>
          <w:szCs w:val="24"/>
        </w:rPr>
      </w:pPr>
      <w:r w:rsidRPr="009F3AF7">
        <w:rPr>
          <w:rFonts w:ascii="Garamond" w:hAnsi="Garamond"/>
          <w:i/>
          <w:sz w:val="24"/>
          <w:szCs w:val="24"/>
        </w:rPr>
        <w:t xml:space="preserve">(Shtuar togfjalësh në pikën </w:t>
      </w:r>
      <w:r w:rsidR="00962D08" w:rsidRPr="009F3AF7">
        <w:rPr>
          <w:rFonts w:ascii="Garamond" w:hAnsi="Garamond"/>
          <w:i/>
          <w:sz w:val="24"/>
          <w:szCs w:val="24"/>
        </w:rPr>
        <w:t>1 me ligjin nr. 8870, 21.3.2002)</w:t>
      </w:r>
    </w:p>
    <w:p w:rsidR="00F35EA4" w:rsidRPr="009F3AF7" w:rsidRDefault="00F35EA4" w:rsidP="00F35EA4">
      <w:pPr>
        <w:pStyle w:val="Paragrafi"/>
        <w:rPr>
          <w:rFonts w:ascii="Garamond" w:hAnsi="Garamond"/>
          <w:sz w:val="24"/>
          <w:szCs w:val="24"/>
        </w:rPr>
      </w:pPr>
    </w:p>
    <w:p w:rsidR="00F35EA4" w:rsidRPr="009F3AF7" w:rsidRDefault="00F35EA4" w:rsidP="00962D08">
      <w:pPr>
        <w:pStyle w:val="Paragrafi"/>
        <w:rPr>
          <w:rFonts w:ascii="Garamond" w:hAnsi="Garamond"/>
          <w:sz w:val="24"/>
          <w:szCs w:val="24"/>
        </w:rPr>
      </w:pPr>
      <w:r w:rsidRPr="009F3AF7">
        <w:rPr>
          <w:rFonts w:ascii="Garamond" w:hAnsi="Garamond"/>
          <w:sz w:val="24"/>
          <w:szCs w:val="24"/>
        </w:rPr>
        <w:t xml:space="preserve">1. Çdo mjet lundrues që përdoret për peshkim profesional, duhet të pajiset me licencë të peshkimit profesional. Gjithashtu me licencë të peshkimit profesional duhet të pajiset cilido që </w:t>
      </w:r>
      <w:r w:rsidRPr="009F3AF7">
        <w:rPr>
          <w:rFonts w:ascii="Garamond" w:hAnsi="Garamond"/>
          <w:sz w:val="24"/>
          <w:szCs w:val="24"/>
        </w:rPr>
        <w:lastRenderedPageBreak/>
        <w:t>zhvillon veprimtari peshkimi profesional pa përdorim</w:t>
      </w:r>
      <w:r w:rsidR="00962D08" w:rsidRPr="009F3AF7">
        <w:rPr>
          <w:rFonts w:ascii="Garamond" w:hAnsi="Garamond"/>
          <w:sz w:val="24"/>
          <w:szCs w:val="24"/>
        </w:rPr>
        <w:t xml:space="preserve">in e mjeteve të tjera lundruese, </w:t>
      </w:r>
      <w:r w:rsidR="00962D08" w:rsidRPr="009F3AF7">
        <w:rPr>
          <w:rFonts w:ascii="Garamond" w:hAnsi="Garamond"/>
          <w:sz w:val="24"/>
          <w:szCs w:val="24"/>
        </w:rPr>
        <w:t>me përjashtim të zonave të bashkëmenaxhimit, ku pajisja me licencë peshkimi rregullohet në përputhje me planin e bashkëmenaxhimit.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Licenca e peshkimit profesional lëshohet nga ministri pa miratim nga bordi i peshkimit, mbi bazën e kërkesës së pronarit ose të cilitdo që kërkon të ushtrojë veprimtari peshkimi profesional me një mjet lundrues, ose pa përdorimin e mjeteve lundruese.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Zotërimi i mjeteve lundruese të peshkimit nuk përbën kusht të mjaftueshëm për të fituar të drejtën e pajisjeve me një licencë të peshkimit profesional.</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16</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Kushtet dhe kohëzgjatja e licencës së peshkimit profesional</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Në lëshimin dhe rinovimin e licencës së peshkimit profesional ministria mund të imponojë kushte për secilën nga pikat e mëposhtme: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zona ku do të zhvillohet veprimtaria;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pajisjet e peshkimit që mund të përdoren;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paraqitja e informacioneve dhe e të dhënave statistikore;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detyrimi për të lejuar praninë dhe qëndrimin e vrojtuesve të caktuar nga ministria në bordin e anijes për qëllime të grumbullimit të të dhënave të ndryshme për peshkimin.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Licenca e peshkimit profesional ka një kohëzgjatje të specifikuar, sipas akteve nënligjore për zbatimin e këtij ligji. Kohëzgjatja duhet të jetë e shënuar në licencë.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Peshkimi jashtë ujërave të republikës së Shqipërisë bëhet me autorizim të veçantë.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4. Licencat e peshkimit profesional, të vlefshme në bazë të dispoz</w:t>
      </w:r>
      <w:r w:rsidR="009B3450" w:rsidRPr="009F3AF7">
        <w:rPr>
          <w:rFonts w:ascii="Garamond" w:hAnsi="Garamond"/>
          <w:sz w:val="24"/>
          <w:szCs w:val="24"/>
        </w:rPr>
        <w:t xml:space="preserve">itave ekzistuese në momentin e </w:t>
      </w:r>
      <w:r w:rsidRPr="009F3AF7">
        <w:rPr>
          <w:rFonts w:ascii="Garamond" w:hAnsi="Garamond"/>
          <w:sz w:val="24"/>
          <w:szCs w:val="24"/>
        </w:rPr>
        <w:t>hyrjes në fuqi të këtij ligji, mbeten të tilla deri në afatin e skadimit të tyre.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5. Mjetet e peshkimit shqiptare të pajisura me licencë të peshkimit profesional punësojnë ekuipazh të përbërë nga shtetas shqiptarë. Prania e ekspertëve të veçantë të huaj, në bordin e mjetit të peshkimit autorizohet nga Ministria.</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17</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Licencat për veprimtaritë e lidhura me peshkimin</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Cilido që kërkon të ushtrojë veprimtari të lidhura me peshkimin, si transportimi, furnizimi i peshkut e organizmave të tjerë ujorë, si dhe shërbime të tjera për mjetet lundruese të peshkimit, duke përjashtuar ngarkesat (tranzite në ujërat e Republikës së Shqipërisë, trajtimin ose transformimin e prodhimeve peshkore, duhet të pajisje nga Ministria me licencën e duhur për veprimtarinë.  Kjo licencë lëshohet nga Ministria ose nga ndonjë organ tjetër i autorizuar prej saj.</w:t>
      </w:r>
    </w:p>
    <w:p w:rsidR="009C6107" w:rsidRPr="009F3AF7" w:rsidRDefault="009C6107" w:rsidP="00F35EA4">
      <w:pPr>
        <w:pStyle w:val="NeniNr"/>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18</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Marrëveshje për peshkim</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Qeveria e Republikës së Shqipërisë lidh marrëveshje me qeveritë e vendeve të tjera ose me organizma ndërkombëtarë në fushën e peshkimit. Marrëveshjet përmbajnë tregues për licencat e peshkimit ose për veprimtaritë e lidhura me të.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Marrëveshjet mbi bazën e këtij neni duhet të përcaktojnë detyrimet e palës tjetër për të garantuar respektimin e normave që zbatohen në peshkim në Republikën e Shqipërisë.</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19</w:t>
      </w:r>
    </w:p>
    <w:p w:rsidR="009C6107" w:rsidRPr="009F3AF7" w:rsidRDefault="00F35EA4" w:rsidP="00F35EA4">
      <w:pPr>
        <w:pStyle w:val="NeniTitull"/>
        <w:rPr>
          <w:rFonts w:ascii="Garamond" w:hAnsi="Garamond"/>
          <w:sz w:val="24"/>
          <w:szCs w:val="24"/>
        </w:rPr>
      </w:pPr>
      <w:r w:rsidRPr="009F3AF7">
        <w:rPr>
          <w:rFonts w:ascii="Garamond" w:hAnsi="Garamond"/>
          <w:sz w:val="24"/>
          <w:szCs w:val="24"/>
        </w:rPr>
        <w:t xml:space="preserve">Licenca e peshkimit për mjetet lundruese të huaja ose për veprimtari </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të lidhura me peshkimin për subjektet e huaja</w:t>
      </w:r>
    </w:p>
    <w:p w:rsidR="00F35EA4" w:rsidRPr="009F3AF7" w:rsidRDefault="006F6BD0" w:rsidP="00FC3C7C">
      <w:pPr>
        <w:pStyle w:val="Paragrafi"/>
        <w:jc w:val="center"/>
        <w:rPr>
          <w:rFonts w:ascii="Garamond" w:hAnsi="Garamond"/>
          <w:i/>
          <w:sz w:val="24"/>
          <w:szCs w:val="24"/>
        </w:rPr>
      </w:pPr>
      <w:r w:rsidRPr="009F3AF7">
        <w:rPr>
          <w:rFonts w:ascii="Garamond" w:hAnsi="Garamond"/>
          <w:i/>
          <w:sz w:val="24"/>
          <w:szCs w:val="24"/>
        </w:rPr>
        <w:t xml:space="preserve">(Shtuar </w:t>
      </w:r>
      <w:r w:rsidRPr="009F3AF7">
        <w:rPr>
          <w:rFonts w:ascii="Garamond" w:hAnsi="Garamond"/>
          <w:i/>
          <w:sz w:val="24"/>
          <w:szCs w:val="24"/>
        </w:rPr>
        <w:t xml:space="preserve">pika 4 </w:t>
      </w:r>
      <w:r w:rsidR="00FC3C7C" w:rsidRPr="009F3AF7">
        <w:rPr>
          <w:rFonts w:ascii="Garamond" w:hAnsi="Garamond"/>
          <w:i/>
          <w:sz w:val="24"/>
          <w:szCs w:val="24"/>
        </w:rPr>
        <w:t>me ligjin nr. 8870, 21.3.2002)</w:t>
      </w:r>
    </w:p>
    <w:p w:rsidR="00FC3C7C" w:rsidRPr="009F3AF7" w:rsidRDefault="00FC3C7C" w:rsidP="00FC3C7C">
      <w:pPr>
        <w:pStyle w:val="Paragrafi"/>
        <w:jc w:val="center"/>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lastRenderedPageBreak/>
        <w:t>1. Ministria lëshon licencë për peshkimin ose për ushtrimin e veprimtarive që lidhen me të mjeteve lundruese ose subjekteve të huaja vetëm:</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në bazë të një marrëveshjeje ndërkombëtare në fuqi me shtetin që i përket mjeti lundrues a subjekti i huaj; ose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në rastin kur lëshimi i licencës;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quhet i dobishëm për ekonominë e Republikës së Shqipërisë dhe veçanërisht kur kërkuesi i kësaj licence merr përsipër për të bërë investime të dobishme në sektorin e peshkimit në Republikën e Shqipërisë, në përputhje me politikat dhe strategjinë e përcaktuar për zhvillimin e këtij sektori;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është i nevojshëm për shfrytëzimin optimal të resurseve, duke pasur parasysh kapacitetet kombëtare për peshkimin dhe zhvillimin e tyre;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të jetë në përputhje me politikën e Republikës së Shqipërisë në lidhje me investimet e huaja dhe në mënyrë të veçantë me parashikimet e planit të administrimit të peshkimit dhe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Zotëruesi i një licence të lëshuar mbi bazën e këtij ligji, është subjekt që mbrohet nga legjislacioni i peshkimit dhe nga aktivitetet e lidhura me peshkimin, që janë në fuqi në Republikën e Shqipërisë.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Zotëruesi i një licence, të lëshuar mbi bazën e këtij neni, duhet të jetë paraprakisht i njohur nga shteti përkatës dhe shteti ynë si person juridik.</w:t>
      </w:r>
    </w:p>
    <w:p w:rsidR="00F35EA4" w:rsidRPr="009F3AF7" w:rsidRDefault="00FC3C7C" w:rsidP="00FC3C7C">
      <w:pPr>
        <w:pStyle w:val="Paragrafi"/>
        <w:rPr>
          <w:rFonts w:ascii="Garamond" w:hAnsi="Garamond"/>
          <w:sz w:val="24"/>
          <w:szCs w:val="24"/>
          <w:cs/>
        </w:rPr>
      </w:pPr>
      <w:r w:rsidRPr="009F3AF7">
        <w:rPr>
          <w:rFonts w:ascii="Garamond" w:hAnsi="Garamond"/>
          <w:sz w:val="24"/>
          <w:szCs w:val="24"/>
        </w:rPr>
        <w:t>4. Licenca e peshkimit në një zonë bashkëmenaxhimi duhet të jetë në përputhje me përmbajtjen e planit përkatës të bashkëmenaxhimit.</w:t>
      </w:r>
    </w:p>
    <w:p w:rsidR="00FC3C7C" w:rsidRPr="009F3AF7" w:rsidRDefault="00FC3C7C" w:rsidP="00FC3C7C">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20</w:t>
      </w:r>
    </w:p>
    <w:p w:rsidR="00F35EA4" w:rsidRPr="009F3AF7" w:rsidRDefault="00F35EA4" w:rsidP="00F35EA4">
      <w:pPr>
        <w:rPr>
          <w:rFonts w:ascii="Garamond" w:hAnsi="Garamond"/>
          <w:sz w:val="24"/>
          <w:szCs w:val="24"/>
          <w:lang w:val="en-GB"/>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Ndalohet dhënia e licencës mjeteve lundruese të huaja për peshkimin fundor (demersal) me trata tërheqëse (trata koce) dhe peshkimin e grumbullimin e moluskeve bivalvore (dykapakore).</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21</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Detyrimi për t’u kthyer në një port shqiptar</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Çdo mjet lundrues shqiptare a e huaj, e pajisur me licencë për peshkimin profesional në ujërat e Republikës së Shqipërisë, është i detyruar të kthehet pranë një porti shqiptar pas veprimtarisë së peshkimit dhe para eksportit të mundshëm të organizmave ujorë të peshkuar, për të kryer gjithë veprimet e kërkuara sipas ligjeve në fuqi.</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22</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Peshkimi i koraleve dhe i sfungjerëve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Ndalohet peshkimi i koraleve dhe i sfungjereve. Për qëllime studimore e kërkimore ministri lëshon autorizim të veçantë.</w:t>
      </w:r>
    </w:p>
    <w:p w:rsidR="00F35EA4" w:rsidRPr="009F3AF7" w:rsidRDefault="00F35EA4" w:rsidP="00F35EA4">
      <w:pPr>
        <w:pStyle w:val="Paragrafi"/>
        <w:rPr>
          <w:rFonts w:ascii="Garamond" w:hAnsi="Garamond"/>
          <w:sz w:val="24"/>
          <w:szCs w:val="24"/>
        </w:rPr>
      </w:pPr>
    </w:p>
    <w:p w:rsidR="00F35EA4" w:rsidRPr="009F3AF7" w:rsidRDefault="009C6107" w:rsidP="00F35EA4">
      <w:pPr>
        <w:pStyle w:val="NeniNr"/>
        <w:rPr>
          <w:rFonts w:ascii="Garamond" w:hAnsi="Garamond"/>
          <w:sz w:val="24"/>
          <w:szCs w:val="24"/>
        </w:rPr>
      </w:pPr>
      <w:r w:rsidRPr="009F3AF7">
        <w:rPr>
          <w:rFonts w:ascii="Garamond" w:hAnsi="Garamond"/>
          <w:sz w:val="24"/>
          <w:szCs w:val="24"/>
        </w:rPr>
        <w:t>Neni 23</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Peshkimi sportiv</w:t>
      </w:r>
    </w:p>
    <w:p w:rsidR="00C256BF" w:rsidRPr="009F3AF7" w:rsidRDefault="00C256BF" w:rsidP="00C256BF">
      <w:pPr>
        <w:pStyle w:val="Paragrafi"/>
        <w:jc w:val="center"/>
        <w:rPr>
          <w:rFonts w:ascii="Garamond" w:hAnsi="Garamond"/>
          <w:i/>
          <w:sz w:val="24"/>
          <w:szCs w:val="24"/>
        </w:rPr>
      </w:pPr>
      <w:r w:rsidRPr="009F3AF7">
        <w:rPr>
          <w:rFonts w:ascii="Garamond" w:hAnsi="Garamond"/>
          <w:i/>
          <w:sz w:val="24"/>
          <w:szCs w:val="24"/>
        </w:rPr>
        <w:t xml:space="preserve">(Shtuar shkronjat “dh”, “e” </w:t>
      </w:r>
      <w:r w:rsidRPr="009F3AF7">
        <w:rPr>
          <w:rFonts w:ascii="Garamond" w:hAnsi="Garamond"/>
          <w:i/>
          <w:sz w:val="24"/>
          <w:szCs w:val="24"/>
        </w:rPr>
        <w:t>me ligjin nr. 8870, 21.3.2002)</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Peshkimi sportiv pa përdorimin e mjeteve lundruese lejohet pa licencë.</w:t>
      </w:r>
    </w:p>
    <w:p w:rsidR="00F35EA4" w:rsidRPr="009F3AF7" w:rsidRDefault="00337CEA" w:rsidP="00F35EA4">
      <w:pPr>
        <w:pStyle w:val="Paragrafi"/>
        <w:rPr>
          <w:rFonts w:ascii="Garamond" w:hAnsi="Garamond"/>
          <w:sz w:val="24"/>
          <w:szCs w:val="24"/>
        </w:rPr>
      </w:pPr>
      <w:r w:rsidRPr="009F3AF7">
        <w:rPr>
          <w:rFonts w:ascii="Garamond" w:hAnsi="Garamond"/>
          <w:sz w:val="24"/>
          <w:szCs w:val="24"/>
        </w:rPr>
        <w:t>Li</w:t>
      </w:r>
      <w:r w:rsidR="00F35EA4" w:rsidRPr="009F3AF7">
        <w:rPr>
          <w:rFonts w:ascii="Garamond" w:hAnsi="Garamond"/>
          <w:sz w:val="24"/>
          <w:szCs w:val="24"/>
        </w:rPr>
        <w:t>cenca e peshkimit sportiv me mjete lundruese lëshohet nga ministri.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Peshkimi sportiv është i ndaluar:</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kur përdoren mjete lundruese të ndryshme nga ato që përcaktohen me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b) kur përdoren pajisje tipike të peshkimit profesional, ose të ndryshme nga ato që </w:t>
      </w:r>
      <w:r w:rsidRPr="009F3AF7">
        <w:rPr>
          <w:rFonts w:ascii="Garamond" w:hAnsi="Garamond"/>
          <w:sz w:val="24"/>
          <w:szCs w:val="24"/>
        </w:rPr>
        <w:lastRenderedPageBreak/>
        <w:t>përcaktohen në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në zona që nuk janë të lejuara për peshkimin sportiv nëpërmjet akteve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kur përdoren pushkë nënujore në një largësi më të vogël se 50 metra nga pajisjet e peshkimit profesional;</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kur përdoren pushkë nënujore për mosha nën gjashtëmbëdhjetë vejç.</w:t>
      </w:r>
    </w:p>
    <w:p w:rsidR="00C256BF" w:rsidRPr="009F3AF7" w:rsidRDefault="00C256BF" w:rsidP="00C256BF">
      <w:pPr>
        <w:pStyle w:val="Paragrafi"/>
        <w:rPr>
          <w:rFonts w:ascii="Garamond" w:hAnsi="Garamond"/>
          <w:sz w:val="24"/>
          <w:szCs w:val="24"/>
        </w:rPr>
      </w:pPr>
      <w:r w:rsidRPr="009F3AF7">
        <w:rPr>
          <w:rFonts w:ascii="Garamond" w:hAnsi="Garamond"/>
          <w:sz w:val="24"/>
          <w:szCs w:val="24"/>
        </w:rPr>
        <w:t>dh) kur përdoren pushkë nënujore, me pajisjet përkatëse, që sigurojnë frymëmarrjen nën ujë.</w:t>
      </w:r>
    </w:p>
    <w:p w:rsidR="00C256BF" w:rsidRPr="009F3AF7" w:rsidRDefault="00C256BF" w:rsidP="00C256BF">
      <w:pPr>
        <w:pStyle w:val="Paragrafi"/>
        <w:rPr>
          <w:rFonts w:ascii="Garamond" w:hAnsi="Garamond"/>
          <w:sz w:val="24"/>
          <w:szCs w:val="24"/>
          <w:cs/>
        </w:rPr>
      </w:pPr>
      <w:r w:rsidRPr="009F3AF7">
        <w:rPr>
          <w:rFonts w:ascii="Garamond" w:hAnsi="Garamond"/>
          <w:sz w:val="24"/>
          <w:szCs w:val="24"/>
        </w:rPr>
        <w:t>e) në zonat e mbrojtura detare.</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24</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Ndalimet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Ndalohet: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të peshkohet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në zona e periudha të ndaluara nga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me mjete lundruese, pajisje fikse ose të lëvizshme të ndaluara nga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organizmat ujorë të llojeve të ndaluara nga aktet nënligjore për zbatimin e këtij ligji, për qëllime të mbrojtjes së tyre ose për motive të tjera;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organizmat ujorë me dimensione të ndaluara nga aktet nënligjore përzbatimin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në sasi më të mëdha se ato që eventualisht fiksohen si sasi maksimale nga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vezët, lavrat e të vegjëlit e çdo lloj organizmi ujor, pa autorizimin e nevojshëm ose licencën e lëshuar në bazë të akteve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përdorimi i lëndëve eksplozive, kimike e helmuese, i energjisë elektrike, të afta të trullosin, paralajmërojmjnë ose vrasin organizmat ujorë, edhe në kuadrin e veprimtarisë së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të peshkohen organizmat ujorë që janë objekt peshkimi i të tretëve, si dhe të peshkohet në largësi më të vogla se ato të parashikuara nëpërmjet akteve nënligjore për zbatimin e këtij ligji nga pajisjet e mjetet e peshkimit të të tretëve, pa konsensusin e përfituesit sipas ligjit;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të mbahen, transportohen e tregtohen çfarëdolloj organizmash ujorë të përfituara në kundërshtim me këtë ligj dhe me aktet nënligjore që rrjedhin prej tij;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të ndryshohet cilësia e ujërave dhe drejtimi i rrjedhës së tyre, në mënyr</w:t>
      </w:r>
      <w:r w:rsidR="009B3450" w:rsidRPr="009F3AF7">
        <w:rPr>
          <w:rFonts w:ascii="Garamond" w:hAnsi="Garamond"/>
          <w:sz w:val="24"/>
          <w:szCs w:val="24"/>
        </w:rPr>
        <w:t xml:space="preserve">ë të tillë që mund të dëmtohet </w:t>
      </w:r>
      <w:r w:rsidRPr="009F3AF7">
        <w:rPr>
          <w:rFonts w:ascii="Garamond" w:hAnsi="Garamond"/>
          <w:sz w:val="24"/>
          <w:szCs w:val="24"/>
        </w:rPr>
        <w:t>habitati i organizmave ujorë ose impiantet e akuakulturës, përveç rasteve të autorizuara sipas ligjit.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Ndalimet e lartpërmendura nuk janë të vlefshme për rastet e parashikuara në nenin 11, pika 5.</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25</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Detyrimi për paraqitjen e të dhënave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Zotëruesi i një licence të peshkimit profesional ose sportiv si dhe i aktivitetit të akuakulturës, është i detyruar të japë me përgjegjësi të dhënat statistikore që lidhen me veprimtarinë e zhvilluar, sipas mënyrave e kritereve që përcaktohen me aktet nënligjore në zbatim të këtij ligji.</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26</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Autorizimi për futjen e organizmave ujorë dhe për eksportin e importin e të vegjëlve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1. Cilido që kërkon të fusë organizma ujorë në ujërat e Republikës së Shqipërisë, duhet të kërkojë një autorizim të veçantë të Ministrisë, përveç rasteve kur kjo është e autorizuar në një </w:t>
      </w:r>
      <w:r w:rsidRPr="009F3AF7">
        <w:rPr>
          <w:rFonts w:ascii="Garamond" w:hAnsi="Garamond"/>
          <w:sz w:val="24"/>
          <w:szCs w:val="24"/>
        </w:rPr>
        <w:lastRenderedPageBreak/>
        <w:t>licencë të akuakulturës të lëshuar nga kjo ministri.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Cilido që kërkon të importojë ose eksportojë vezë, larva e raste të çdo lloj organizmi ujor, duhet të pajiset me një autorizim të veçantë nga Ministria.</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VI</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TË USHTRUARIT E VEPRIMTARISË SË AKUAKULTURËS</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27</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Licenca e akuakulturës</w:t>
      </w:r>
    </w:p>
    <w:p w:rsidR="004A230F" w:rsidRPr="009F3AF7" w:rsidRDefault="004A230F" w:rsidP="004A230F">
      <w:pPr>
        <w:pStyle w:val="Paragrafi"/>
        <w:jc w:val="center"/>
        <w:rPr>
          <w:rFonts w:ascii="Garamond" w:hAnsi="Garamond"/>
          <w:i/>
          <w:sz w:val="24"/>
          <w:szCs w:val="24"/>
        </w:rPr>
      </w:pPr>
      <w:r w:rsidRPr="009F3AF7">
        <w:rPr>
          <w:rFonts w:ascii="Garamond" w:hAnsi="Garamond"/>
          <w:i/>
          <w:sz w:val="24"/>
          <w:szCs w:val="24"/>
        </w:rPr>
        <w:t>(S</w:t>
      </w:r>
      <w:r w:rsidRPr="009F3AF7">
        <w:rPr>
          <w:rFonts w:ascii="Garamond" w:hAnsi="Garamond"/>
          <w:i/>
          <w:sz w:val="24"/>
          <w:szCs w:val="24"/>
        </w:rPr>
        <w:t>h</w:t>
      </w:r>
      <w:r w:rsidRPr="009F3AF7">
        <w:rPr>
          <w:rFonts w:ascii="Garamond" w:hAnsi="Garamond"/>
          <w:i/>
          <w:sz w:val="24"/>
          <w:szCs w:val="24"/>
        </w:rPr>
        <w:t>t</w:t>
      </w:r>
      <w:r w:rsidRPr="009F3AF7">
        <w:rPr>
          <w:rFonts w:ascii="Garamond" w:hAnsi="Garamond"/>
          <w:i/>
          <w:sz w:val="24"/>
          <w:szCs w:val="24"/>
        </w:rPr>
        <w:t xml:space="preserve">uar </w:t>
      </w:r>
      <w:r w:rsidRPr="009F3AF7">
        <w:rPr>
          <w:rFonts w:ascii="Garamond" w:hAnsi="Garamond"/>
          <w:i/>
          <w:sz w:val="24"/>
          <w:szCs w:val="24"/>
        </w:rPr>
        <w:t xml:space="preserve">pika 6/1 </w:t>
      </w:r>
      <w:r w:rsidRPr="009F3AF7">
        <w:rPr>
          <w:rFonts w:ascii="Garamond" w:hAnsi="Garamond"/>
          <w:i/>
          <w:sz w:val="24"/>
          <w:szCs w:val="24"/>
        </w:rPr>
        <w:t>me ligjin nr. 8763, datë 2.4.2001)</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Veprimtaria e akuakulturës lejoht me licencë nga Ministria.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Licenca lëshohet vetëm kur zbatimi i projektit nuk shkakton efekte negative ndaj mjedisit dhe ndikon në zhvillimin e ekonomisë shqiptare. Në bordin e dhënies së licencave të akuakulturës marrin pjesë edhe përfaqësues të Komitetit të Mbrojtjes së Mjedisit dhe ministrive të tjera, me të cilat lidhet veprimtaria në fjalë.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Planifikimi në lëmin e akuakulturës bëhet mbi bazën e një administri të integruar të interesave ekonomike e mjedisore me sektorët e tjerë të interesuar dhe është subjekt i procedurave të vlerësimit të mospërputhjeve mjedisor.</w:t>
      </w:r>
    </w:p>
    <w:p w:rsidR="00F35EA4" w:rsidRPr="009F3AF7" w:rsidRDefault="00F35EA4" w:rsidP="00F35EA4">
      <w:pPr>
        <w:pStyle w:val="Paragrafi"/>
        <w:rPr>
          <w:rFonts w:ascii="Garamond" w:hAnsi="Garamond"/>
          <w:sz w:val="24"/>
          <w:szCs w:val="24"/>
        </w:rPr>
      </w:pPr>
      <w:r w:rsidRPr="009F3AF7">
        <w:rPr>
          <w:rFonts w:ascii="Garamond" w:hAnsi="Garamond"/>
          <w:sz w:val="24"/>
          <w:szCs w:val="24"/>
        </w:rPr>
        <w:t>4. E drejta e përdorimit të tokave private për zhvillimin e veprimtarisë së akuakulturës fitohet në mënyrë të veçantë, në përputhje me ligjet në fuqi.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5. E drejta e përdorimit të tokave me pronësi shtetërore për zhvillimin e veprimtarisë së akuakulturës përcaktohet në të njëjtën licencë, pasi merret edhe mendimi i autoriteteve lokale kompetente pa territorin në fjalë.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6. E drejta e përdorimit të sipërfaqeve ujore të republikës së Shqipërisë për zhvillimin e veprimtarisë së akuakulturës përcaktohet në të njëjtën licencë të akuakulturës.</w:t>
      </w:r>
    </w:p>
    <w:p w:rsidR="004A230F" w:rsidRPr="009F3AF7" w:rsidRDefault="004A230F" w:rsidP="004A230F">
      <w:pPr>
        <w:pStyle w:val="Paragrafi"/>
        <w:rPr>
          <w:rFonts w:ascii="Garamond" w:hAnsi="Garamond"/>
          <w:sz w:val="24"/>
          <w:szCs w:val="24"/>
        </w:rPr>
      </w:pPr>
      <w:r w:rsidRPr="009F3AF7">
        <w:rPr>
          <w:rFonts w:ascii="Garamond" w:hAnsi="Garamond"/>
          <w:sz w:val="24"/>
          <w:szCs w:val="24"/>
        </w:rPr>
        <w:t>6/1.</w:t>
      </w:r>
      <w:r w:rsidRPr="009F3AF7">
        <w:rPr>
          <w:rFonts w:ascii="Garamond" w:hAnsi="Garamond"/>
          <w:sz w:val="24"/>
          <w:szCs w:val="24"/>
        </w:rPr>
        <w:t>Sipërfaqet ujore të Republikës së Shqipërisë u jepen me qira subjekteve juridike e fizike, për të ushtruar veprimtarinë e akuakulturës intensive, me synim shfrytëzimin e këtyre sipërfaqeve mbi bazën e parimit të zhvillimit të qëndrueshëm.</w:t>
      </w:r>
    </w:p>
    <w:p w:rsidR="004A230F" w:rsidRPr="009F3AF7" w:rsidRDefault="004A230F" w:rsidP="004A230F">
      <w:pPr>
        <w:pStyle w:val="Paragrafi"/>
        <w:rPr>
          <w:rFonts w:ascii="Garamond" w:hAnsi="Garamond"/>
          <w:sz w:val="24"/>
          <w:szCs w:val="24"/>
        </w:rPr>
      </w:pPr>
      <w:r w:rsidRPr="009F3AF7">
        <w:rPr>
          <w:rFonts w:ascii="Garamond" w:hAnsi="Garamond"/>
          <w:sz w:val="24"/>
          <w:szCs w:val="24"/>
        </w:rPr>
        <w:t>Procedurat dhe vlerat e qirasë, sipas kategorive ujore, përcaktohen me vendim të Këshillit të Ministrave.</w:t>
      </w:r>
    </w:p>
    <w:p w:rsidR="004A230F" w:rsidRPr="009F3AF7" w:rsidRDefault="004A230F" w:rsidP="004A230F">
      <w:pPr>
        <w:pStyle w:val="Paragrafi"/>
        <w:rPr>
          <w:rFonts w:ascii="Garamond" w:hAnsi="Garamond"/>
          <w:sz w:val="24"/>
          <w:szCs w:val="24"/>
        </w:rPr>
      </w:pPr>
      <w:r w:rsidRPr="009F3AF7">
        <w:rPr>
          <w:rFonts w:ascii="Garamond" w:hAnsi="Garamond"/>
          <w:sz w:val="24"/>
          <w:szCs w:val="24"/>
        </w:rPr>
        <w:t>Për miratimin e sipërfaqeve ujore, të përcaktuara nga Ministria e Bujqësisë dhe Ushqimit, për dhënien me qira për qëllimin e mësipërm, të merret edhe mendimi i Komitetit të Zhvill</w:t>
      </w:r>
      <w:r w:rsidRPr="009F3AF7">
        <w:rPr>
          <w:rFonts w:ascii="Garamond" w:hAnsi="Garamond"/>
          <w:sz w:val="24"/>
          <w:szCs w:val="24"/>
        </w:rPr>
        <w:t xml:space="preserve">imit të Turizimit, i Agjencisë </w:t>
      </w:r>
      <w:r w:rsidRPr="009F3AF7">
        <w:rPr>
          <w:rFonts w:ascii="Garamond" w:hAnsi="Garamond"/>
          <w:sz w:val="24"/>
          <w:szCs w:val="24"/>
        </w:rPr>
        <w:t>Kombëtare të Mjedisit dhe i Sekretariatit</w:t>
      </w:r>
      <w:r w:rsidRPr="009F3AF7">
        <w:rPr>
          <w:rFonts w:ascii="Garamond" w:hAnsi="Garamond"/>
          <w:sz w:val="24"/>
          <w:szCs w:val="24"/>
        </w:rPr>
        <w:t xml:space="preserve"> të Këshillit Kombëtar të Ujit.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7. Për rastet e përshkruara në pikat 5 e 6 licenca tregon kushtet e qirasë, përveç rasteve kur kjo është e parashikuar nga ligjet në fuqi. Vlerësimi i tokave shtetërore për qëllime të akuakulturës klasifikikohet në një kategori me tokat bujqësore sipas ligjeve në fuqi.</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28</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Kushtet e licencës së akuakulturës</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Në lëshimin ose rinovimin e një licence të akuakulturës ministria mund të imponojë kushte, në lidhje me secilën pikë që vijon: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struktura, pajisjet dhe mirëmbajtja e impianteve;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zonat ku do të zhvillohet veprimtaria;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sasia dhe cilësia e ushqimeve që do të përdoren;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përdorimi i lëndëve kimike;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mbajtja e regjistrave dhe paraqitja e informacioneve;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dh) sinjalizimi i sëmundjeve që shfaqen;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e) sasia, cilësia dhe llojet e të vegjëlve që mund të futen e përdoren;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ë) shkarkimi i çfarëdo lloj materiali nga impiantet;</w:t>
      </w:r>
    </w:p>
    <w:p w:rsidR="00F35EA4" w:rsidRPr="009F3AF7" w:rsidRDefault="00F35EA4" w:rsidP="00F35EA4">
      <w:pPr>
        <w:pStyle w:val="Paragrafi"/>
        <w:rPr>
          <w:rFonts w:ascii="Garamond" w:hAnsi="Garamond"/>
          <w:sz w:val="24"/>
          <w:szCs w:val="24"/>
        </w:rPr>
      </w:pPr>
      <w:r w:rsidRPr="009F3AF7">
        <w:rPr>
          <w:rFonts w:ascii="Garamond" w:hAnsi="Garamond"/>
          <w:sz w:val="24"/>
          <w:szCs w:val="24"/>
        </w:rPr>
        <w:lastRenderedPageBreak/>
        <w:t>f) kontrolli i cilësisë së ujit;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g) transporti i peshkut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gj) domosdoshmëria e një licence të veçantë për veprimtaritë e lidhura me akuakulturën;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h) kufizimi i zonës ku do të zhvillohet veprimtaria;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i) sigurimet e detyrueshme.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Në çdo rast Ministria sigurohet që kërkuesi i licencave të paraqesë garanci të mjaftueshme për t’iu përgjigjur detyrimeve të veta.</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29</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Kohëzgjatja e licencës</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Kohëzgjatja e licencës së akuakulturës është deri në 20 vjet dhe mbas mbarimit të afatit mund të rinovohet.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Në licencë parashikohen afatet brenda të cilave duhet të fillojnë e përfundojnë veprat për ushtrimin e veprimtarisë. Në çdo rast veprat duhet të përfundohen brenda tre vjetëve nga momenti i lëshimit të licencës.</w:t>
      </w:r>
    </w:p>
    <w:p w:rsidR="00F35EA4" w:rsidRPr="009F3AF7" w:rsidRDefault="00F35EA4" w:rsidP="00F35EA4">
      <w:pPr>
        <w:pStyle w:val="NeniNr"/>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30</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Modifikimet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Çdo modifikim i strukturave, pajisjeve dhe mirëmbajtjes së impianteve duhet të autorizohet paraprakisht nga ministria.</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VII</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ADMINISTRIMI I LAGUNAVE DHE ZONAVE TË TJERA UJORE E LIMITROFE</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31</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Marrëveshjet për administrimin</w:t>
      </w:r>
    </w:p>
    <w:p w:rsidR="006B3C6C" w:rsidRPr="009F3AF7" w:rsidRDefault="006B3C6C" w:rsidP="006B3C6C">
      <w:pPr>
        <w:pStyle w:val="Paragrafi"/>
        <w:jc w:val="center"/>
        <w:rPr>
          <w:rFonts w:ascii="Garamond" w:hAnsi="Garamond"/>
          <w:i/>
          <w:sz w:val="24"/>
          <w:szCs w:val="24"/>
        </w:rPr>
      </w:pPr>
      <w:r w:rsidRPr="009F3AF7">
        <w:rPr>
          <w:rFonts w:ascii="Garamond" w:hAnsi="Garamond"/>
          <w:i/>
          <w:sz w:val="24"/>
          <w:szCs w:val="24"/>
        </w:rPr>
        <w:t xml:space="preserve">(Shtuar paragraf në pikën 1 </w:t>
      </w:r>
      <w:r w:rsidRPr="009F3AF7">
        <w:rPr>
          <w:rFonts w:ascii="Garamond" w:hAnsi="Garamond"/>
          <w:i/>
          <w:sz w:val="24"/>
          <w:szCs w:val="24"/>
        </w:rPr>
        <w:t>me ligjin nr. 8870, 21.3.2002)</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Ministria përfundon marrëveshje me subjekte publike e private për administrimin e lagunave ose zonave të tjera të ujërave të Republikës së Shqipërisë, eventualisht edhe për zona limitrofe, me qëllim që të ruhet ekuilibri ekologjik dhe shfrytëzimi racional i resuerseve peshkore të këtyre zonave.</w:t>
      </w:r>
    </w:p>
    <w:p w:rsidR="006B3C6C" w:rsidRPr="009F3AF7" w:rsidRDefault="006B3C6C" w:rsidP="006B3C6C">
      <w:pPr>
        <w:pStyle w:val="Paragrafi"/>
        <w:rPr>
          <w:rFonts w:ascii="Garamond" w:hAnsi="Garamond"/>
          <w:sz w:val="24"/>
          <w:szCs w:val="24"/>
        </w:rPr>
      </w:pPr>
      <w:r w:rsidRPr="009F3AF7">
        <w:rPr>
          <w:rFonts w:ascii="Garamond" w:hAnsi="Garamond"/>
          <w:sz w:val="24"/>
          <w:szCs w:val="24"/>
        </w:rPr>
        <w:t>Marrëveshje nuk bëhen për zonat gjeografike, që janë miratuar si zona bashkëmenaxhimi, sipas të njëjtës formë</w:t>
      </w:r>
      <w:r w:rsidRPr="009F3AF7">
        <w:rPr>
          <w:rFonts w:ascii="Garamond" w:hAnsi="Garamond"/>
          <w:sz w:val="24"/>
          <w:szCs w:val="24"/>
        </w:rPr>
        <w:t xml:space="preserve"> të veprimtarisë së peshkimit.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Marrëveshjet shoqërohen me një plan për administrimin e zonës, ku specifikohet gjendja e resuerseve dhe objektivat që synohen të arrihen nëpërmjet këtij administri, të gjitha kushtet për zbatimin e tij, veçanërisht: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përcaktimi dhe kufizimi i zonës ujore ose limitrofe, për të cilën do të bëhet marrëveshja;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kohëzgjatja e marrëveshjes;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përcaktimi në veçanti i detyrimeve që ndërmerr pala kontraktuese, si ndërtimi i infrastrukturave ekzistuese, si dhe pagesat vjetore;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garancitë që ofron pala kontraktuese për respektimin e detyrimeve të veta;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të drejtat që fiton pala kontraktuese për secilin nga resurset e zonës, si për resurset peshkore e faunistike, ashtu edhe për zhvillimin e veprimtarisë së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dh) masat që përcaktohen për të siguruar respektimin e së drejtës së peshkimit dhe të veprimtarive të tjera, që tradicionalisht ushtrohen në atë zonë;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e) detyrimet që merr Ministria në lidhje me administrimin e zonës;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ë) pasojat në rastet e shkeljeve të dispozitave të marrëveshjes nga secila palë.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3. Projekti i një marrëveshje, në bazë të këtij neni, duhet të publikohet dhe në mënyrë të </w:t>
      </w:r>
      <w:r w:rsidRPr="009F3AF7">
        <w:rPr>
          <w:rFonts w:ascii="Garamond" w:hAnsi="Garamond"/>
          <w:sz w:val="24"/>
          <w:szCs w:val="24"/>
        </w:rPr>
        <w:lastRenderedPageBreak/>
        <w:t>veçantë t’u bëhet i njohur rezidenteve të zonës dhe autoriteteve lokale me mjete të përshtatshme nëpërmjet afishimit në vende publike, publikimi në shtyp e mjeteve të tjera të informacionit, në mënyrë që subjektet e interesuara të japin mendimet dhe vërejtjet e tyre.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4. Afati i publikimit nuk duhet të jetë më pak se tridhjetë ditë.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5. Vërejtjet që do të jepen nga cilido në lidhje me projektmarrëveshjen në fjalë, duhet të shikohen e vlerësohen nga Ministria para përfundimit të marrëveshjes. Vendimi që do të merret, duhet të jetë i motivuar dhe të publikohet.</w:t>
      </w:r>
    </w:p>
    <w:p w:rsidR="00951713" w:rsidRPr="009F3AF7" w:rsidRDefault="00951713" w:rsidP="00F35EA4">
      <w:pPr>
        <w:pStyle w:val="Paragrafi"/>
        <w:rPr>
          <w:rFonts w:ascii="Garamond" w:hAnsi="Garamond"/>
          <w:sz w:val="24"/>
          <w:szCs w:val="24"/>
        </w:rPr>
      </w:pPr>
    </w:p>
    <w:p w:rsidR="00951713" w:rsidRPr="009F3AF7" w:rsidRDefault="00951713" w:rsidP="00951713">
      <w:pPr>
        <w:pStyle w:val="KreuNr"/>
        <w:rPr>
          <w:rFonts w:ascii="Garamond" w:hAnsi="Garamond"/>
          <w:sz w:val="24"/>
          <w:szCs w:val="24"/>
        </w:rPr>
      </w:pPr>
      <w:r w:rsidRPr="009F3AF7">
        <w:rPr>
          <w:rFonts w:ascii="Garamond" w:hAnsi="Garamond"/>
          <w:sz w:val="24"/>
          <w:szCs w:val="24"/>
        </w:rPr>
        <w:t>KREU VII/I</w:t>
      </w:r>
    </w:p>
    <w:p w:rsidR="00951713" w:rsidRPr="009F3AF7" w:rsidRDefault="00951713" w:rsidP="00951713">
      <w:pPr>
        <w:pStyle w:val="KreuTitull"/>
        <w:rPr>
          <w:rFonts w:ascii="Garamond" w:hAnsi="Garamond"/>
          <w:sz w:val="24"/>
          <w:szCs w:val="24"/>
        </w:rPr>
      </w:pPr>
      <w:r w:rsidRPr="009F3AF7">
        <w:rPr>
          <w:rFonts w:ascii="Garamond" w:hAnsi="Garamond"/>
          <w:sz w:val="24"/>
          <w:szCs w:val="24"/>
        </w:rPr>
        <w:t>ORGANIZATAT E MENAXHIMIT TË PESHKIMIT</w:t>
      </w:r>
    </w:p>
    <w:p w:rsidR="00951713" w:rsidRPr="009F3AF7" w:rsidRDefault="00951713" w:rsidP="00951713">
      <w:pPr>
        <w:pStyle w:val="Paragrafi"/>
        <w:jc w:val="center"/>
        <w:rPr>
          <w:rFonts w:ascii="Garamond" w:hAnsi="Garamond"/>
          <w:i/>
          <w:sz w:val="24"/>
          <w:szCs w:val="24"/>
        </w:rPr>
      </w:pPr>
      <w:r w:rsidRPr="009F3AF7">
        <w:rPr>
          <w:rFonts w:ascii="Garamond" w:hAnsi="Garamond"/>
          <w:i/>
          <w:sz w:val="24"/>
          <w:szCs w:val="24"/>
        </w:rPr>
        <w:t xml:space="preserve">(Shtuar Kreu </w:t>
      </w:r>
      <w:r w:rsidRPr="009F3AF7">
        <w:rPr>
          <w:rFonts w:ascii="Garamond" w:hAnsi="Garamond"/>
          <w:i/>
          <w:sz w:val="24"/>
          <w:szCs w:val="24"/>
        </w:rPr>
        <w:t>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Organizatat e menaxhimit të peshkimit</w:t>
      </w:r>
    </w:p>
    <w:p w:rsidR="00951713" w:rsidRPr="009F3AF7" w:rsidRDefault="00951713" w:rsidP="00951713">
      <w:pPr>
        <w:pStyle w:val="Paragrafi"/>
        <w:jc w:val="center"/>
        <w:rPr>
          <w:rFonts w:ascii="Garamond" w:hAnsi="Garamond"/>
          <w:i/>
          <w:sz w:val="24"/>
          <w:szCs w:val="24"/>
        </w:rPr>
      </w:pPr>
      <w:r w:rsidRPr="009F3AF7">
        <w:rPr>
          <w:rFonts w:ascii="Garamond" w:hAnsi="Garamond"/>
          <w:i/>
          <w:sz w:val="24"/>
          <w:szCs w:val="24"/>
        </w:rPr>
        <w:t xml:space="preserve">(Shtuar </w:t>
      </w:r>
      <w:r w:rsidRPr="009F3AF7">
        <w:rPr>
          <w:rFonts w:ascii="Garamond" w:hAnsi="Garamond"/>
          <w:i/>
          <w:sz w:val="24"/>
          <w:szCs w:val="24"/>
        </w:rPr>
        <w:t>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Organizatat e menaxhimit të peshkimit janë persona juridikë, privatë, që krijohen në mbështetje të nenit 26 të Kodit Civil, për ushtrimin e veprimtarisë në sektorin e peshkimit, në përputhje me përcaktimet e parashikuara në këtë ligj. Organizatat e menaxhimit të peshkimit kanë buxhet të pavarur, që bazohet në kuotat e anëtarësisë, donacionet e ndryshme, si dhe nga çdo e ardhur, që realizohet nga veprimtaria e tyre, e parashikuar nga ky ligj. Çdo e ardhur shtesë mbi shpenzimet nuk do të shpërndahet ndërmjet anëtarëve të organizatës, por do të përdoret për realizimin e objektivave të saj.</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Mbledhja e themelimit miraton statutin e organizatës, mbështetur në statutin tip, dhe zgjedh organet drejtuese të saj. Të paktën gjysma e anëtarëve pronarë, që marrin pjesë në mbledhjen e themelimit, duhet të shprehen dakord me statutin. Projektstatuti i organizatës miratohet nga ministri. Urdhri për miratimin e statutit, së bashku me një kopje të statutit, botohen në Fletoren Zyrtare</w:t>
      </w:r>
      <w:r w:rsidRPr="009F3AF7">
        <w:rPr>
          <w:rFonts w:ascii="Garamond" w:hAnsi="Garamond"/>
          <w:sz w:val="24"/>
          <w:szCs w:val="24"/>
          <w:cs/>
        </w:rPr>
        <w: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Organizata e Menaxhimit të Peshkimit fiton status juridik pas botimit në Fletoren Zyrtare të urdhrit të ministrit për miratimin e statutit të saj</w:t>
      </w:r>
      <w:r w:rsidRPr="009F3AF7">
        <w:rPr>
          <w:rFonts w:ascii="Garamond" w:hAnsi="Garamond"/>
          <w:sz w:val="24"/>
          <w:szCs w:val="24"/>
          <w:cs/>
        </w:rPr>
        <w: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4. Organizata e Menaxhimit të Peshkimit: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do të menaxhojë një port ose qendër peshkimi sipas kreut VII/II të këtij ligji;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do të marrë pjesë në bashkëmenaxhimin e burimeve të peshkimit, në përputhje me kreun VII/III të këtij ligji.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5. Nuk mund të krijohet më shumë se një organizatë menaxhimi peshkimi për një port ose një qendër peshkimi.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6. Procedurat për themelimin, organizimin dhe funksionimin e organizatës miratohen nga ministri.</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31/2</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Anëtarësia në organizata</w:t>
      </w:r>
    </w:p>
    <w:p w:rsidR="00951713" w:rsidRPr="009F3AF7" w:rsidRDefault="00951713" w:rsidP="0095171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jc w:val="center"/>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Anëtarësia në organizata është vullnetare dhe do të përbëhet nga anëtarë pronarë dhe anëtarë jopronarë.</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Anëtar pronar ka të drejtë të bëhet mbajtësi i një licence profesionale për një mjet lundrues të regjistruar. Anëtar jopronar ka të drejtë të bëhet çdo kapiten aktiv, inxhinier apo peshkatar, që ka më shumë se dy vjet përvojë në veprimtarinë e peshkimit.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Tri të pestat e numrit të përgjithshëm të votave të anëtarëve do të caktohen për anëtarët pronarë të shoqatës, pjesa tjetër e votave do të jetë për anëtarët jopronarë.</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lastRenderedPageBreak/>
        <w:t>Neni 31/3</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Organet e organizatës</w:t>
      </w:r>
    </w:p>
    <w:p w:rsidR="00951713" w:rsidRPr="009F3AF7" w:rsidRDefault="00951713" w:rsidP="0095171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Çdo organizatë ka asamblenë e përgjithshme, këshillin administrativ, si dhe organe të tjera të parashikuara në statut.</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31/4</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Asambleja e përgjithshme</w:t>
      </w:r>
    </w:p>
    <w:p w:rsidR="00951713" w:rsidRPr="009F3AF7" w:rsidRDefault="00951713" w:rsidP="0095171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tabs>
          <w:tab w:val="left" w:pos="4020"/>
        </w:tabs>
        <w:ind w:firstLine="0"/>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Asambleja e përgjithshme është organi kryesor vendimmarrës i organizatës, që mblidhet të paktën një herë në vit në mbledhjen vjetore të përgjithshme.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Mbledhjet e jashtëzakonshme të asamblesë së përgjithshme mund të thirren nga këshilli administrativ, me vullnetin e tij ose në bazë të kërkesës me shkrim të atyre që kanë të paktën 10 për qind të numrit të përgjithshëm të votave ose sipas specifikimit në statut.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Asambleja e përgjithshme ka të drejtën ekskluzive të merret me çështjet e mëposhtme: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me miratimin e llogarive të raportit vjetor, buxhetit dhe planit të mirëmbajtjes dhe funksionimit;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me miratimin e shtesave të propozuara në statut, si dhe me rregulloret e brendshme dhe gjobat për shkeljen e tyre;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me zgjedhjen e këshillit administrativ;</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ç) me vendimin për shpërndarjen e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 me çështje të tjera, që përcaktohen në statut.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4. Në rastin e anëtarëve pronarë që kanë më shumë se një barkë, statuti parashikon se nuk mund të ketë më shumë se 2/5 e votave që i përkasin anëtarëve jopronarë.</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5. Një anëtar ka të drejtë të votojë në mbledhjet e asamblesë së përgjithshme vetëm nëse ka paguar të gjitha detyrimet financiare ndaj organizatës.</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31/5</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Këshilli administrativ</w:t>
      </w: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                                   </w:t>
      </w:r>
      <w:r w:rsidRPr="009F3AF7">
        <w:rPr>
          <w:rFonts w:ascii="Garamond" w:hAnsi="Garamond"/>
          <w:i/>
          <w:sz w:val="24"/>
          <w:szCs w:val="24"/>
        </w:rPr>
        <w:t>(Shtuar me ligjin nr. 8870, 21.3.2002)</w:t>
      </w:r>
    </w:p>
    <w:p w:rsidR="00951713" w:rsidRPr="009F3AF7" w:rsidRDefault="00951713" w:rsidP="00951713">
      <w:pPr>
        <w:pStyle w:val="Paragrafi"/>
        <w:tabs>
          <w:tab w:val="left" w:pos="4440"/>
        </w:tabs>
        <w:ind w:firstLine="0"/>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1. Këshilli administrativ është organi përgjegjës për menaxhimin e organizatës dhe anëtarët e tij janë anëtarë të organizatës. Këshilli administrativ përgjigjet para asamblesë së përgjithshme për mbikëqyrjen e veprimtarisë së organizatës dhe përbëhet të paktën nga tre anëtarë, njëri prej të cilëve është anëtar jopronar i organizatës. </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Anëtarët e këshillit administrativ zgjidhen me votim të fshehtë në asamblenë e përgjithshme për një periudhë katërvjeçare. Një anëtar i këshillit administrativ, që ka përfunduar mandatin, mund të rikandidojë për t'u zgjedhur. Asnjë person nuk do të zgjidhet në këshillin administrativ nëse ka detyrime financiare ndaj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Këshilli administrativ ka këto detyra:</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bën kërkesën për mbledhjen e asamblesë së përgjithshme;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përgatit projektbuxhetin, planin e punës, planin e përdorimit dhe të mirëmbajtjes, që miratohen nga asambleja e përgjithshme;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nënshkruan kontratat në përputhje me buxhetin e miratuar, planin e punës dhe planin e përdorimit dhe të mirëmbajtjes;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ç) cakton dhe shkarkon stafin e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 përgatit axhendën e takimeve të asamblesë së përgjithshme;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dh) harton rregulloret e brendshme të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lastRenderedPageBreak/>
        <w:t>e) monitoron punën e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ë) siguron ndjekjen e procedurave financiare dhe administrative të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f) çështje të tjera, siç përcaktohen në statut.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4. Mbledhjet e këshillit administrativ bëhen çdo muaj ose siç përcaktohet në statut, me kërkesë të kryetarit ose të 1/3 të anëtarëve të këshillit administrativ.</w:t>
      </w:r>
    </w:p>
    <w:p w:rsidR="00951713" w:rsidRPr="009F3AF7" w:rsidRDefault="00951713" w:rsidP="00951713">
      <w:pPr>
        <w:pStyle w:val="Paragrafi"/>
        <w:rPr>
          <w:rFonts w:ascii="Garamond" w:hAnsi="Garamond"/>
          <w:sz w:val="24"/>
          <w:szCs w:val="24"/>
        </w:rPr>
      </w:pPr>
      <w:r w:rsidRPr="009F3AF7">
        <w:rPr>
          <w:rFonts w:ascii="Garamond" w:hAnsi="Garamond"/>
          <w:sz w:val="24"/>
          <w:szCs w:val="24"/>
        </w:rPr>
        <w:t>5. Nëse këshilli administrativ pezullohet në përputhje me pikën 3 të nenit 31/7 të këtij ligji, atëherë ministri emëron një drejtues të përkohshëm për të përmbushur detyrimet për mbarëvajtjen e punëve të organizatës deri në mbledhjen pasardhëse të asamblesë së përgjithshme, ku dhe emërohet këshilli i ri administrativ.</w:t>
      </w:r>
    </w:p>
    <w:p w:rsidR="00951713" w:rsidRPr="009F3AF7" w:rsidRDefault="00951713" w:rsidP="00951713">
      <w:pPr>
        <w:pStyle w:val="Paragrafi"/>
        <w:rPr>
          <w:rFonts w:ascii="Garamond" w:hAnsi="Garamond"/>
          <w:sz w:val="24"/>
          <w:szCs w:val="24"/>
        </w:rPr>
      </w:pPr>
      <w:r w:rsidRPr="009F3AF7">
        <w:rPr>
          <w:rFonts w:ascii="Garamond" w:hAnsi="Garamond"/>
          <w:sz w:val="24"/>
          <w:szCs w:val="24"/>
        </w:rPr>
        <w:t>6. Drejtuesi i përkohshëm, përveç detyrimeve të përditshme sipas pikës 3 të këtij neni, thërret asamblenë e përgjithshme.</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31/6</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Statuti</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2941A3">
      <w:pPr>
        <w:pStyle w:val="Paragrafi"/>
        <w:ind w:firstLine="0"/>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Statuti i organizatës duhet të përmbajë të paktën:</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emrin dhe selinë e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rregullat e funksionimit të asamblesë së përgjithshme, të këshillit administrativ apo të organeve të tjera;</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të drejtat dhe detyrat e anëtarëve të organizatës, të drejtën e votës, tarifat që do të paguhen nga anëtarët;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ç) mënyrën e kontrollit të organizatës për veprimtarinë që kryen;</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 dorëheqjen dhe përjashtimin e anëtarëve dhe sanksionet për shkeljen e statutit;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dh) mënyrën e shpërndarjes dhe të likuidimit të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Statuti mund të përmbajë edhe dispozita të tjera, të veçanta, për çdo organizatë, por, në çdo rast, pa tejkaluar objektivat e dhënë nga ligji.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Për ndryshimet në statut ndiqet e njëjta procedurë si për miratimin e tij.</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31/7</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Komiteti i Monitorimit</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2941A3">
      <w:pPr>
        <w:pStyle w:val="Paragrafi"/>
        <w:ind w:firstLine="0"/>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Pranë Ministrisë së Bujqësisë dhe Ushqimit krijohet Komiteti i Monitorimit, prej 7 vetash, i cili raporton te ministri për veprimtarinë e organizatave të menaxhimit të peshkimit dhe të bashkëmenaxhimit të burimeve të peshkimit. Anëtarët e këtij komiteti janë punonjës të Ministrisë së Bujqësisë dhe Ushqimit. Mënyra e funksionimit të këtij komiteti përcaktohet me rregullore të ministrit.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Çdo organizatë mban bilancet dhe regjistrat financiarë, në përputhje me legjislacionin në fuqi, dhe brenda 60 ditëve nga përfundimi i vitit financiar, depoziton kopje të tyre në Komitetin e Monitorimit.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Komiteti i Monitorimit, kur zbulon prova të shkeljeve financiare ose vëren se organizata nuk ka vepruar në përputhje me ligjin, njofton këshillin administrativ, i cili thërret menjëherë mbledhjen e asamblesë së përgjithshme, para së cilës paraqiten provat e gjetura nga Komiteti i Monitorimit. Nëse këshilli administrativ nuk e mbledh asamblenë e përgjithshme brenda 30 ditëve, Komiteti i Monitorimit pezullon këshillin administrativ.</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31/8</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Regjistri i organizatave</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2941A3" w:rsidRPr="009F3AF7" w:rsidRDefault="002941A3" w:rsidP="002941A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Ministria krijon regjistrin e organizatave. Rregullat për mbajtjen e regjistrit dhe konsultimin e tij nga publiku përcaktohen nga ministri.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Regjistri duhet të përmbajë të dhënat e mëposhtme: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emrin e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selinë qendrore të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numrin e anëtarëve të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ç) emrat, adresat dhe numrat telefonikë të anëtarëve të këshillit administrativ dhe të kryetarit të çdo organizate;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 datën e arkivimit të bilancit të fundit vjetor, së bashku me një kopje të tij.</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31/9</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Kontrolli i veprimtarisë së organizatës</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2941A3">
      <w:pPr>
        <w:pStyle w:val="Paragrafi"/>
        <w:ind w:firstLine="0"/>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Veprimtaria e organizatës dhe dokumentet e saj kontrollohen nga organet e specializuara të Ministrisë së Bujqësisë dhe Ushqimit, si dhe nga organe të tjera, të parashikuara nga legjislacioni në fuqi.</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31/10</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Shpërndarja e organizatës</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2941A3">
      <w:pPr>
        <w:pStyle w:val="Paragrafi"/>
        <w:ind w:firstLine="0"/>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Organizata shpërndahet me urdhër të ministrit në rastet e mëposhtme: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Kur propozohet nga vetë asambleja e përgjithshme. Në këtë rast vendimi i asamblesë së përgjithshme merret me 2/3 e votave të anëtarëve të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b) Kur organet e kontrollit vërejnë se organizata i është shmangur qëllimit për të cilin është krijuar ose nuk është në gjendje të plotësojë, në praktikë, detyrat. </w:t>
      </w:r>
    </w:p>
    <w:p w:rsidR="00951713" w:rsidRPr="009F3AF7" w:rsidRDefault="00951713" w:rsidP="002941A3">
      <w:pPr>
        <w:pStyle w:val="Paragrafi"/>
        <w:rPr>
          <w:rFonts w:ascii="Garamond" w:hAnsi="Garamond"/>
          <w:sz w:val="24"/>
          <w:szCs w:val="24"/>
          <w:cs/>
        </w:rPr>
      </w:pPr>
      <w:r w:rsidRPr="009F3AF7">
        <w:rPr>
          <w:rFonts w:ascii="Garamond" w:hAnsi="Garamond"/>
          <w:sz w:val="24"/>
          <w:szCs w:val="24"/>
        </w:rPr>
        <w:t>2. Ministri i jep 30 ditë afat organizatës për zgjidhjen e problemeve të vëna re, para se të ushtrojë të drejtën, në përputhje me shkronjën "b" të pikës 1 të këtij neni. Urdhri për shpërndarjen e organizatës botohet në Fletoren Zyrtare</w:t>
      </w:r>
      <w:r w:rsidRPr="009F3AF7">
        <w:rPr>
          <w:rFonts w:ascii="Garamond" w:hAnsi="Garamond"/>
          <w:sz w:val="24"/>
          <w:szCs w:val="24"/>
          <w:cs/>
        </w:rPr>
        <w: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Me urdhrin për shpërndarje, organizata ndërpret veprimtarinë dhe likuidohet nga komisioni i likuidimeve, i cili krijohet dhe vepron sipas rregullave të përcaktuara në statutin tip.</w:t>
      </w:r>
    </w:p>
    <w:p w:rsidR="00951713" w:rsidRPr="009F3AF7" w:rsidRDefault="00951713" w:rsidP="00951713">
      <w:pPr>
        <w:pStyle w:val="Paragrafi"/>
        <w:rPr>
          <w:rFonts w:ascii="Garamond" w:hAnsi="Garamond"/>
          <w:sz w:val="24"/>
          <w:szCs w:val="24"/>
        </w:rPr>
      </w:pPr>
      <w:r w:rsidRPr="009F3AF7">
        <w:rPr>
          <w:rFonts w:ascii="Garamond" w:hAnsi="Garamond"/>
          <w:sz w:val="24"/>
          <w:szCs w:val="24"/>
        </w:rPr>
        <w:t>4. Kundër urdhrit të ministrit për shpërndarjen, organizata ka të drejtë të ankohet në gjykatë brenda 30 ditëve nga dita e shpalljes së urdhrit.</w:t>
      </w:r>
    </w:p>
    <w:p w:rsidR="00951713" w:rsidRPr="009F3AF7" w:rsidRDefault="00951713" w:rsidP="00951713">
      <w:pPr>
        <w:pStyle w:val="Paragrafi"/>
        <w:rPr>
          <w:rFonts w:ascii="Garamond" w:hAnsi="Garamond"/>
          <w:sz w:val="24"/>
          <w:szCs w:val="24"/>
        </w:rPr>
      </w:pPr>
    </w:p>
    <w:p w:rsidR="00951713" w:rsidRPr="009F3AF7" w:rsidRDefault="00951713" w:rsidP="00951713">
      <w:pPr>
        <w:pStyle w:val="KreuNr"/>
        <w:rPr>
          <w:rFonts w:ascii="Garamond" w:hAnsi="Garamond"/>
          <w:sz w:val="24"/>
          <w:szCs w:val="24"/>
        </w:rPr>
      </w:pPr>
      <w:r w:rsidRPr="009F3AF7">
        <w:rPr>
          <w:rFonts w:ascii="Garamond" w:hAnsi="Garamond"/>
          <w:sz w:val="24"/>
          <w:szCs w:val="24"/>
        </w:rPr>
        <w:t>KREU VII/II</w:t>
      </w:r>
    </w:p>
    <w:p w:rsidR="00951713" w:rsidRPr="009F3AF7" w:rsidRDefault="00951713" w:rsidP="00951713">
      <w:pPr>
        <w:pStyle w:val="KreuTitull"/>
        <w:rPr>
          <w:rFonts w:ascii="Garamond" w:hAnsi="Garamond"/>
          <w:sz w:val="24"/>
          <w:szCs w:val="24"/>
        </w:rPr>
      </w:pPr>
      <w:r w:rsidRPr="009F3AF7">
        <w:rPr>
          <w:rFonts w:ascii="Garamond" w:hAnsi="Garamond"/>
          <w:sz w:val="24"/>
          <w:szCs w:val="24"/>
        </w:rPr>
        <w:t>DHËNIA NË PËRDORIM E PORTEVE, E QENDVAVE TË PESHKIMIT DHE E STRUKTURAVE QË USHTROJNË VEPRIMTARI PESHKIMI</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 xml:space="preserve">(Shtuar </w:t>
      </w:r>
      <w:r w:rsidRPr="009F3AF7">
        <w:rPr>
          <w:rFonts w:ascii="Garamond" w:hAnsi="Garamond"/>
          <w:i/>
          <w:sz w:val="24"/>
          <w:szCs w:val="24"/>
        </w:rPr>
        <w:t xml:space="preserve">Kreu </w:t>
      </w:r>
      <w:r w:rsidRPr="009F3AF7">
        <w:rPr>
          <w:rFonts w:ascii="Garamond" w:hAnsi="Garamond"/>
          <w:i/>
          <w:sz w:val="24"/>
          <w:szCs w:val="24"/>
        </w:rPr>
        <w:t>me ligjin nr. 8870, 21.3.2002)</w:t>
      </w:r>
    </w:p>
    <w:p w:rsidR="00951713" w:rsidRPr="009F3AF7" w:rsidRDefault="00951713" w:rsidP="002941A3">
      <w:pPr>
        <w:pStyle w:val="Paragrafi"/>
        <w:ind w:firstLine="0"/>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31/11</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Transferimi i porteve dhe i qendrave të peshkimit</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Një port ose qendër peshkimi dhe strukturat e lidhura me veprimtarinë e peshkimit mund t’i transferohen në administrim një organizate me kërkesën e saj.</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Kalimi në përdorim i një porti ose qendre peshkimi ose dhe i strukturave të lidhura me veprimtarinë e peshkimit, te një organizatë e menaxhimit të peshkimit do të bëhet sipas kritereve të mëposhtme: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mosndryshimin e destinacionit dhe të qëllimit;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lastRenderedPageBreak/>
        <w:t>b) garantimin e përdorimit të portit ose qendrës së peshkimit nga ana e shtetit në rastet e masave të jashtëzakonshme;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c) ruajtjen dhe garantimin e interesit publik; </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ç) ruajtjen dhe rritjen e vlerës ekonomike.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Format e marrëveshjeve, së bashku me kushtet e përdorimit të porteve ose të qendrave të peshkimit dhe të strukturave të lidhura me veprimtarinë e peshkimit, miratohen me vendim të Këshillit të Ministrave.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4. Organet shtetërore, të ngarkuara nga ligji, kanë të drejtë të inspektojnë infrastrukturën e transferuar, sipas dispozitave të këtij ligji, si dhe dokumentacionin përkatës.</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31/12</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Përdorimi i porteve dhe i qendrave të peshkimit nga organizata</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Një organizatë përdor dhe mirëmban portet ose qendrat e peshkimit që i janë transferuar, në përputhje me parimet e mëposhtme: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administruesit e portit ose të qendrës së peshkimit duhet të përballojnë kostot e përdorimit dhe të mirëmbajtjes;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porti ose qendra e peshkimit përdoren në mënyrë të drejtë e të barabartë për të nxitur dhe mbrojtur interesat e përdoruesve;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porti ose qendra e peshkimit administrohen në një mënyrë racionale, duke zbatuar legjislacionin në fuqi, për të nxitur mbrojtjen e mjedisit dhe një zhvillim të qëndrueshëm.</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31/13</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Përdorimi i portit ose i qendrës së peshkimit nga persona joanëtarë të organizatës</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Një organizatë është e detyruar të lejojë:</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çdo mjet lundrues, që është pronë ose drejtohet nga një person, i cili nuk është anëtar i organizatës, të përdorë portin ose qendrën e peshkimit që i është transferuar Organizatës së Menaxhimit të Peshkimit;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personat, të cilët nuk janë anëtarë të organizatës, të hyjnë në port ose në qendrën e peshkimit.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Çdo person, i cili hyn ose shfrytëzon portin ose qendrën e peshkimit, që i është transferuar një organizate dhe që nuk është anëtar i saj, duhet të veprojë në përputhje me aktet ligjore dhe nënligjore, që rregullojnë veprimtarinë e portit ose të qendrës së peshkimit, dhe me rregulloret e organizatës.</w:t>
      </w:r>
    </w:p>
    <w:p w:rsidR="00951713" w:rsidRPr="009F3AF7" w:rsidRDefault="00951713" w:rsidP="00951713">
      <w:pPr>
        <w:pStyle w:val="Paragrafi"/>
        <w:rPr>
          <w:rFonts w:ascii="Garamond" w:hAnsi="Garamond"/>
          <w:sz w:val="24"/>
          <w:szCs w:val="24"/>
        </w:rPr>
      </w:pPr>
      <w:r w:rsidRPr="009F3AF7">
        <w:rPr>
          <w:rFonts w:ascii="Garamond" w:hAnsi="Garamond"/>
          <w:sz w:val="24"/>
          <w:szCs w:val="24"/>
        </w:rPr>
        <w:t>3. Tarifat që organizata ofron për shërbimet për një mjet lundrues, që është pronë a drejtohet nga një person, i cili nuk është anëtar i organizatës, janë më të larta se tarifat për mjetet lundruese të anëtarëve të saj, por, në çdo rast, jo më shumë se dyfishi.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4. Niveli i tarifave propozohet nga organizata dhe miratohet nga ministri.</w:t>
      </w:r>
    </w:p>
    <w:p w:rsidR="00951713" w:rsidRPr="009F3AF7" w:rsidRDefault="00951713" w:rsidP="00951713">
      <w:pPr>
        <w:pStyle w:val="Paragrafi"/>
        <w:rPr>
          <w:rFonts w:ascii="Garamond" w:hAnsi="Garamond"/>
          <w:sz w:val="24"/>
          <w:szCs w:val="24"/>
        </w:rPr>
      </w:pPr>
    </w:p>
    <w:p w:rsidR="00951713" w:rsidRPr="009F3AF7" w:rsidRDefault="00951713" w:rsidP="00951713">
      <w:pPr>
        <w:pStyle w:val="KreuNr"/>
        <w:rPr>
          <w:rFonts w:ascii="Garamond" w:hAnsi="Garamond"/>
          <w:sz w:val="24"/>
          <w:szCs w:val="24"/>
        </w:rPr>
      </w:pPr>
      <w:r w:rsidRPr="009F3AF7">
        <w:rPr>
          <w:rFonts w:ascii="Garamond" w:hAnsi="Garamond"/>
          <w:sz w:val="24"/>
          <w:szCs w:val="24"/>
        </w:rPr>
        <w:t>KREU VII/III</w:t>
      </w:r>
    </w:p>
    <w:p w:rsidR="00951713" w:rsidRPr="009F3AF7" w:rsidRDefault="00951713" w:rsidP="00951713">
      <w:pPr>
        <w:pStyle w:val="KreuTitull"/>
        <w:rPr>
          <w:rFonts w:ascii="Garamond" w:hAnsi="Garamond"/>
          <w:sz w:val="24"/>
          <w:szCs w:val="24"/>
        </w:rPr>
      </w:pPr>
      <w:r w:rsidRPr="009F3AF7">
        <w:rPr>
          <w:rFonts w:ascii="Garamond" w:hAnsi="Garamond"/>
          <w:sz w:val="24"/>
          <w:szCs w:val="24"/>
        </w:rPr>
        <w:t>BASHKËMENAXHIMI I PESHKIMIT</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 xml:space="preserve">(Shtuar </w:t>
      </w:r>
      <w:r w:rsidRPr="009F3AF7">
        <w:rPr>
          <w:rFonts w:ascii="Garamond" w:hAnsi="Garamond"/>
          <w:i/>
          <w:sz w:val="24"/>
          <w:szCs w:val="24"/>
        </w:rPr>
        <w:t xml:space="preserve">Kreu </w:t>
      </w:r>
      <w:r w:rsidRPr="009F3AF7">
        <w:rPr>
          <w:rFonts w:ascii="Garamond" w:hAnsi="Garamond"/>
          <w:i/>
          <w:sz w:val="24"/>
          <w:szCs w:val="24"/>
        </w:rPr>
        <w:t>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31/14</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Përcaktimi i një zone bashkëmenaxhuese</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1. Si zonë bashkëmenaxhuese e peshkimit miratohet nga ministri çdo hapësirë gjeografike </w:t>
      </w:r>
      <w:r w:rsidRPr="009F3AF7">
        <w:rPr>
          <w:rFonts w:ascii="Garamond" w:hAnsi="Garamond"/>
          <w:sz w:val="24"/>
          <w:szCs w:val="24"/>
        </w:rPr>
        <w:lastRenderedPageBreak/>
        <w:t>e caktuar e ujërave të Republikës së Shqipërisë, në bazë të kërkesës me shkrim të organizatës. Zona e bashkëmenaxhimit mund të shtrihet për të gjitha veprimtaritë e peshkimit brenda saj ose vetëm në veprimtaritë e peshkimit që përdorin teknika ose mjete gjuetie specifike dhe/ose në periudha të caktuara të vitit.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Organizata e Menaxhimit të Peshkimit, e lidhur me një zonë bashkëmenaxhuese, përfshihet në përgatitjen dhe zbatimin e planit të bashkëmenaxhimit për zonën përkatëse.</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31/15</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Planet e bashkëmenaxhimit</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Çdo plan bashkëmenaxhimi miratohet për një periudhë jo më shumë se dhjetë vjet dhe ka si qëllim:</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të nxisë përdorimin e burimeve të peshkimit mbi bazën e zhvillimit të qëndrueshëm, duke siguruar, në të njëjtën kohë, mirëmbajtjen e tyre në nivele që arrijnë të plotësojnë nevojat sot dhe në të ardhmen;</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të mirëmbajë e të ruajë cilësinë dhe llojshmërinë biologjike të burimeve të peshkimit;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c) të nxisë zbatimin e teknologjisë së përshtatshme për peshkim; </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ç) të shmangë tejkalimin e kapacitetit të peshkimit.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Brenda dymbëdhjetë muajve nga data e caktimit të zonës bashkëmenaxhuese, organizata përkatëse dhe Drejtoria e Peshkimit përgatisin planin e bashkëmenaxhimit të peshkimit për këtë zonë, i cili miratohet nga ministri.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          3. Projektplanet e bashkëmenaxhimit hartohen nga Drejtoria e Peshkimit dhe organizata përkatëse, sipas rregulloreve që lëshohen nga Ministria e Bujqësisë dhe Ushqimit në bashkëpunim me Ministrinë e Mjedisit dhe komisionet e këshillimeve vendore për peshkimin dhe akuakulturën.</w:t>
      </w: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          4. Planet bashkëmenaxhuese, pas nënshkrimit, botohen në Fletoren Zyrtare, si dhe publikohen në një gazetë që qarkullon në ose pranë zonës bashkëmenaxhuese.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 xml:space="preserve"> </w:t>
      </w: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31/16</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Përmbajtja e planit të bashkëmenaxhimit</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Çdo plan bashkëmenaxhimi duhet: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të përmbajë një analizë të gjendjes së peshkimit në zonën e bashkëmenaxhimit;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të identifikojë objektivat afatshkurtër, afatmesëm dhe afatgjatë që duhen realizuar, për të siguruar një menaxhim të qëndrueshëm dhe të frytshëm të peshkimit në zonën e bashkëmenaxhimit;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të përcaktojë masat e rekomanduara të menaxhimit dhe strategjitë e zhvillimit, të nevojshme për të arritur këta objektiva;</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 të identifikojë burimet e financimit për kostot e zbatimit të këtyre masave menaxhuese;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dh) të përmbajë matës dhe mekanizma zyrtarë kontrolli, në mënyrë që të vlerësohet zbatimi, rregullimi dhe frytshmëria e tij;</w:t>
      </w:r>
    </w:p>
    <w:p w:rsidR="00951713" w:rsidRPr="009F3AF7" w:rsidRDefault="00951713" w:rsidP="00951713">
      <w:pPr>
        <w:pStyle w:val="Paragrafi"/>
        <w:rPr>
          <w:rFonts w:ascii="Garamond" w:hAnsi="Garamond"/>
          <w:sz w:val="24"/>
          <w:szCs w:val="24"/>
        </w:rPr>
      </w:pPr>
      <w:r w:rsidRPr="009F3AF7">
        <w:rPr>
          <w:rFonts w:ascii="Garamond" w:hAnsi="Garamond"/>
          <w:sz w:val="24"/>
          <w:szCs w:val="24"/>
        </w:rPr>
        <w:t>e) të përputhet me planin kombëtar për menaxhimin e peshkimit.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Një plan bashkëmenaxhimi, që lidhet me një zonë bashkëmenaxhimi, ku përfshihen dy a më shumë organizata, duhet të pasqyrojë me hollësi mekanizmat e bashkëpunimit ndërmjet këtyre organizatave.</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31/17</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Veprimtaria e peshkimit në zonën bashkëmenaxhuese</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Aty ku është e nevojshme që të nxitet një menaxhim i frytshëm i peshkimit, plani i bashkëmenaxhimit siguron që:</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asnjë person të mos ndërmarrë veprimtari peshkimi ose peshkimi profesional në territorin e zonës bashkëmenaxhuese, nëse ai nuk është anëtar i organizatës përkatëse bashkëmenaxhuese;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asnjë person të mos ndërmarrë veprimtari peshkimi me pajisje ose teknika të veçanta, nëse ai nuk është anëtar i organizatës përkatëse bashkëmenaxhuese.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Për rastet e përmendura në pikën 1:</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Mbajtësit e licencave të peshkimit profesional do të vazhdojnë të kenë të drejtën për të kryer veprimtari peshkimi për një periudhë deri në një vit pas hyrjes në fuqi të planit të bashkëmenaxhimit.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Pas kësaj periudhe ata duhet të bëhen anëtarë pronarë ose të ndërpresin veprimtarinë e peshkimit në zonën e bashkëmenaxhimit.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Anëtarët pronarë të rinj që, me hyrjen në fuqi të ligjit, nuk janë mbajtës të licencave të peshkimit profesional, do të pranohen në organizatë në bazë të kritereve të përcaktuara deri në kapacitetin e parashikuar dhe në përputhje me planin e bashkëmenaxhimit.</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31/18</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Licencimi në një zonë bashkëmenaxhuese</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Një plan bashkëmenaxhimi siguron që dispozitat e nenit 15 të veprojnë në zonën bashkëmenaxhuese ku ai shtrihet dhe, gjithashtu, përcakton sa dhe si organizata ose organizatat përkatëse do të përfshihen në dhënien dhe zbatimin e licencave.</w:t>
      </w:r>
    </w:p>
    <w:p w:rsidR="00951713" w:rsidRPr="009F3AF7" w:rsidRDefault="00951713" w:rsidP="00951713">
      <w:pPr>
        <w:pStyle w:val="Paragrafi"/>
        <w:rPr>
          <w:rFonts w:ascii="Garamond" w:hAnsi="Garamond"/>
          <w:sz w:val="24"/>
          <w:szCs w:val="24"/>
        </w:rPr>
      </w:pPr>
    </w:p>
    <w:p w:rsidR="00951713" w:rsidRPr="009F3AF7" w:rsidRDefault="00951713" w:rsidP="00951713">
      <w:pPr>
        <w:pStyle w:val="NeniNr"/>
        <w:rPr>
          <w:rFonts w:ascii="Garamond" w:hAnsi="Garamond"/>
          <w:sz w:val="24"/>
          <w:szCs w:val="24"/>
        </w:rPr>
      </w:pPr>
      <w:r w:rsidRPr="009F3AF7">
        <w:rPr>
          <w:rFonts w:ascii="Garamond" w:hAnsi="Garamond"/>
          <w:sz w:val="24"/>
          <w:szCs w:val="24"/>
        </w:rPr>
        <w:t>Neni 31/19</w:t>
      </w:r>
    </w:p>
    <w:p w:rsidR="00951713" w:rsidRPr="009F3AF7" w:rsidRDefault="00951713" w:rsidP="00951713">
      <w:pPr>
        <w:pStyle w:val="NeniTitull"/>
        <w:rPr>
          <w:rFonts w:ascii="Garamond" w:hAnsi="Garamond"/>
          <w:sz w:val="24"/>
          <w:szCs w:val="24"/>
        </w:rPr>
      </w:pPr>
      <w:r w:rsidRPr="009F3AF7">
        <w:rPr>
          <w:rFonts w:ascii="Garamond" w:hAnsi="Garamond"/>
          <w:sz w:val="24"/>
          <w:szCs w:val="24"/>
        </w:rPr>
        <w:t>Monitorimi dhe rishikimi</w:t>
      </w:r>
    </w:p>
    <w:p w:rsidR="002941A3" w:rsidRPr="009F3AF7" w:rsidRDefault="002941A3" w:rsidP="002941A3">
      <w:pPr>
        <w:pStyle w:val="Paragrafi"/>
        <w:jc w:val="center"/>
        <w:rPr>
          <w:rFonts w:ascii="Garamond" w:hAnsi="Garamond"/>
          <w:sz w:val="24"/>
          <w:szCs w:val="24"/>
        </w:rPr>
      </w:pPr>
      <w:r w:rsidRPr="009F3AF7">
        <w:rPr>
          <w:rFonts w:ascii="Garamond" w:hAnsi="Garamond"/>
          <w:i/>
          <w:sz w:val="24"/>
          <w:szCs w:val="24"/>
        </w:rPr>
        <w:t>(Shtuar me ligjin nr. 8870, 21.3.2002)</w:t>
      </w:r>
    </w:p>
    <w:p w:rsidR="00951713" w:rsidRPr="009F3AF7" w:rsidRDefault="00951713" w:rsidP="00951713">
      <w:pPr>
        <w:pStyle w:val="Paragrafi"/>
        <w:rPr>
          <w:rFonts w:ascii="Garamond" w:hAnsi="Garamond"/>
          <w:sz w:val="24"/>
          <w:szCs w:val="24"/>
        </w:rPr>
      </w:pPr>
    </w:p>
    <w:p w:rsidR="00951713" w:rsidRPr="009F3AF7" w:rsidRDefault="00951713" w:rsidP="00951713">
      <w:pPr>
        <w:pStyle w:val="Paragrafi"/>
        <w:rPr>
          <w:rFonts w:ascii="Garamond" w:hAnsi="Garamond"/>
          <w:sz w:val="24"/>
          <w:szCs w:val="24"/>
        </w:rPr>
      </w:pPr>
      <w:r w:rsidRPr="009F3AF7">
        <w:rPr>
          <w:rFonts w:ascii="Garamond" w:hAnsi="Garamond"/>
          <w:sz w:val="24"/>
          <w:szCs w:val="24"/>
        </w:rPr>
        <w:t>1. Komisioni për koordinimin e kërkimit shkencor dhe teknologjik mund të kërkojë në çdo kohë një rishikim të zbatimit të çdo plani për bashkëmenaxhimin e peshkimit, në rast se: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plani nuk është zbatuar saktë dhe me frytshmëri;</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zbatimi i planit kërcënon burimet e peshkimit në zonën bashkëmenaxhuese;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shkakton konflikte serioze ndërmjet anëtarëve.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2. Ministri, kur shikon se rrezikohen dhe dëmtohen rezervat e peshkimit dhe/ose zonat ujore:</w:t>
      </w:r>
    </w:p>
    <w:p w:rsidR="00951713" w:rsidRPr="009F3AF7" w:rsidRDefault="00951713" w:rsidP="00951713">
      <w:pPr>
        <w:pStyle w:val="Paragrafi"/>
        <w:rPr>
          <w:rFonts w:ascii="Garamond" w:hAnsi="Garamond"/>
          <w:sz w:val="24"/>
          <w:szCs w:val="24"/>
        </w:rPr>
      </w:pPr>
      <w:r w:rsidRPr="009F3AF7">
        <w:rPr>
          <w:rFonts w:ascii="Garamond" w:hAnsi="Garamond"/>
          <w:sz w:val="24"/>
          <w:szCs w:val="24"/>
        </w:rPr>
        <w:t>a) urdhëron modifikimin e planit ekzistues të bashkëmenaxhimit dhe/ose mënyrën e zbatimit të tij dhe/ose të detyrimit për zbatim;</w:t>
      </w:r>
    </w:p>
    <w:p w:rsidR="00951713" w:rsidRPr="009F3AF7" w:rsidRDefault="00951713" w:rsidP="00951713">
      <w:pPr>
        <w:pStyle w:val="Paragrafi"/>
        <w:rPr>
          <w:rFonts w:ascii="Garamond" w:hAnsi="Garamond"/>
          <w:sz w:val="24"/>
          <w:szCs w:val="24"/>
        </w:rPr>
      </w:pPr>
      <w:r w:rsidRPr="009F3AF7">
        <w:rPr>
          <w:rFonts w:ascii="Garamond" w:hAnsi="Garamond"/>
          <w:sz w:val="24"/>
          <w:szCs w:val="24"/>
        </w:rPr>
        <w:t>b) urdhëron marrjen e masave të veçanta, për zbatimin ose detyrimin në zbatim të planit ekzistues të bashkëmenaxhimit;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c) ndërpret zbatimin e planit ekzistues të bashkëmenaxhimit;</w:t>
      </w:r>
    </w:p>
    <w:p w:rsidR="00951713" w:rsidRPr="009F3AF7" w:rsidRDefault="00951713" w:rsidP="00951713">
      <w:pPr>
        <w:pStyle w:val="Paragrafi"/>
        <w:rPr>
          <w:rFonts w:ascii="Garamond" w:hAnsi="Garamond"/>
          <w:sz w:val="24"/>
          <w:szCs w:val="24"/>
        </w:rPr>
      </w:pPr>
      <w:r w:rsidRPr="009F3AF7">
        <w:rPr>
          <w:rFonts w:ascii="Garamond" w:hAnsi="Garamond"/>
          <w:sz w:val="24"/>
          <w:szCs w:val="24"/>
        </w:rPr>
        <w:t>ç) hedh poshtë planin ekzistues të bashkëmenaxhimit.</w:t>
      </w:r>
    </w:p>
    <w:p w:rsidR="00F35EA4" w:rsidRPr="009F3AF7" w:rsidRDefault="00951713" w:rsidP="00951713">
      <w:pPr>
        <w:pStyle w:val="Paragrafi"/>
        <w:rPr>
          <w:rFonts w:ascii="Garamond" w:hAnsi="Garamond"/>
          <w:sz w:val="24"/>
          <w:szCs w:val="24"/>
        </w:rPr>
      </w:pPr>
      <w:r w:rsidRPr="009F3AF7">
        <w:rPr>
          <w:rFonts w:ascii="Garamond" w:hAnsi="Garamond"/>
          <w:sz w:val="24"/>
          <w:szCs w:val="24"/>
        </w:rPr>
        <w:t>3. Në rast se një plan bashkëmenaxhimi ndërpritet ose hidhet poshtë, ministri përcakton, në të njëjtën kohë, regjimin e menaxhimit, që zbatohet për këtë lloj peshkimi, dhe nxjerr</w:t>
      </w:r>
      <w:r w:rsidRPr="009F3AF7">
        <w:rPr>
          <w:rFonts w:ascii="Garamond" w:hAnsi="Garamond"/>
          <w:sz w:val="24"/>
          <w:szCs w:val="24"/>
        </w:rPr>
        <w:t xml:space="preserve"> rregulla të tjera për zbatim.</w:t>
      </w:r>
    </w:p>
    <w:p w:rsidR="00951713" w:rsidRPr="009F3AF7" w:rsidRDefault="00951713"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VIII</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KOMPETENCA TË TJERA TË MINISTRISË</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lastRenderedPageBreak/>
        <w:t>Neni 32</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Rregulloret</w:t>
      </w:r>
    </w:p>
    <w:p w:rsidR="00DE01D0" w:rsidRPr="009F3AF7" w:rsidRDefault="00DE01D0" w:rsidP="00DE01D0">
      <w:pPr>
        <w:pStyle w:val="Paragrafi"/>
        <w:jc w:val="center"/>
        <w:rPr>
          <w:rFonts w:ascii="Garamond" w:hAnsi="Garamond"/>
          <w:sz w:val="24"/>
          <w:szCs w:val="24"/>
        </w:rPr>
      </w:pPr>
      <w:r w:rsidRPr="009F3AF7">
        <w:rPr>
          <w:rFonts w:ascii="Garamond" w:hAnsi="Garamond"/>
          <w:i/>
          <w:sz w:val="24"/>
          <w:szCs w:val="24"/>
        </w:rPr>
        <w:t xml:space="preserve">(Shtuar </w:t>
      </w:r>
      <w:r w:rsidRPr="009F3AF7">
        <w:rPr>
          <w:rFonts w:ascii="Garamond" w:hAnsi="Garamond"/>
          <w:i/>
          <w:sz w:val="24"/>
          <w:szCs w:val="24"/>
        </w:rPr>
        <w:t xml:space="preserve">shkronjat “p’’, ‘’q’’, ‘’r’’, ‘’rr’’, ‘’s’’, ‘’sh’’ </w:t>
      </w:r>
      <w:r w:rsidRPr="009F3AF7">
        <w:rPr>
          <w:rFonts w:ascii="Garamond" w:hAnsi="Garamond"/>
          <w:i/>
          <w:sz w:val="24"/>
          <w:szCs w:val="24"/>
        </w:rPr>
        <w:t>me ligjin nr. 8870, 21.3.2002)</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Ministria harton, përshtat e miraton rregullore për zbatimin e këtij ligji, të cilat përfshijnë: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përbërjen, funksionimin dhe detyra të veçanta të organeve konsultative që krijohen në bazë të neneve 4, 6 e 7 të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modelet e kërkesës, të autorizimit dhe të licencës, të parashikuara nga ky ligj;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kushtet për lëshimin dhe rinovimin e autorizimeve të kërkimit;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kriteret dhe mënyrat për njohjen e enteve kërkimore sipas nenit 10 të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kushtet, kërkesat dhe mënyrat e regjistrimit në regjistër e peshkatarëve sipas nenit 12 të këtij ligji, si dhe modelin e regjistrit dhe normat për mbajtjen e tij;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dh) kualifikimet dhe tituj profesionalë të personelit të punësuar në peshkim e akuakulturë, si dhe kriteret dhe mënyrat e regjistrimit të tyre;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e) kushtet, kërkesat dhe mënyrat e regjistrimit të anijeve të peshkimit sipas nenit 16 të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ë) kushtet për lëshimin dhe rinovimin e licencave të peshkimit profesional e atij sportiv;</w:t>
      </w:r>
    </w:p>
    <w:p w:rsidR="00F35EA4" w:rsidRPr="009F3AF7" w:rsidRDefault="00F35EA4" w:rsidP="00F35EA4">
      <w:pPr>
        <w:pStyle w:val="Paragrafi"/>
        <w:rPr>
          <w:rFonts w:ascii="Garamond" w:hAnsi="Garamond"/>
          <w:sz w:val="24"/>
          <w:szCs w:val="24"/>
        </w:rPr>
      </w:pPr>
      <w:r w:rsidRPr="009F3AF7">
        <w:rPr>
          <w:rFonts w:ascii="Garamond" w:hAnsi="Garamond"/>
          <w:sz w:val="24"/>
          <w:szCs w:val="24"/>
        </w:rPr>
        <w:t>f) krijimin dhe mbajtjen pranë ministrisë të një arkivi të licencave të peshkimit dhe të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g) detyrimet dhe mënyrat e paraqitjes së relacioneve nga titullarët e autorizimeve të kërkimit;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gj) detyrimet dhe mënyrat e paraqitjes së informacioneve dhe të dhënave statistikore për peshkimin e akuakulturës, si dhe për shfrytëzimin ekonomik të prodhimeve të peshkimit e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h) ndalimet në peshkim sipas nenit 24 ose ndalime të tjera, duke parashikuar edhe sanksione në bazë të ligjit;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i) ndërprerjen, anulimin, rinovimin ose refuzimin për rinovimin e licencave dhe autorizimeve të parashikura nga ky ligj;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j) peshkimin sportiv, e në veçanti llojet, pajisjet, zonat, periudhat, ushtirmin e kësaj veprimtarie në ujërat e brendshme, përdorimin e mjeteve lundruese, lëshimin e licencave nga ana e shoqërive sportive ose ente të tjera, kushtet për përdorimin e pushës nënujore;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k) taksat për licencat dhe autorizimet e parashikuara në bazë të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l) kushtet higjieniko-shëndetësore në lidhje me organizmat ujorë të peshkuar ose të prodhuar nga veprimtaria e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ll) sasitë minimale vjetore që do të peshkohen nga subjektet si kusht për rinovimin e licencës;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m) të ushtruarit e akuakulturës, e në veçanti: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strukturat, pajisjet, impiantet dhe mirëmbajtjen;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metodat e kultivimit;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grumbullimin e të dhënave për akuakulturën;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kontrollin e impianteve dhe të mjedisit;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vendosjen gjeografike të impianteve;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kreditë lehtësuese;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ekpsortin dhe importin e të vegjëlve;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taksat për marrjen me qira të zonave ujore të Republikës së Shqipërisë dhe kushte të tjera;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taksat për marrjen me qira të tokave shtetërore dhe kushte të tjera;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n) organizimin e tregjeve të peshkut e në veçanti detyrimin për të paraqitur të dhënat statistikore për veprimtarinë e zhvilluar;</w:t>
      </w:r>
    </w:p>
    <w:p w:rsidR="00F35EA4" w:rsidRPr="009F3AF7" w:rsidRDefault="00F35EA4" w:rsidP="00F35EA4">
      <w:pPr>
        <w:pStyle w:val="Paragrafi"/>
        <w:rPr>
          <w:rFonts w:ascii="Garamond" w:hAnsi="Garamond"/>
          <w:sz w:val="24"/>
          <w:szCs w:val="24"/>
        </w:rPr>
      </w:pPr>
      <w:r w:rsidRPr="009F3AF7">
        <w:rPr>
          <w:rFonts w:ascii="Garamond" w:hAnsi="Garamond"/>
          <w:sz w:val="24"/>
          <w:szCs w:val="24"/>
        </w:rPr>
        <w:t>nj) autorizimin e organeve administrative ose enteve të tjera për lëshimin e licencave të parashikuara në këtë ligj;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o) emërimin dhe kompetencat e inspektorëve të peshkimit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p) redaktimin e procesverbaleve nga ana e inspektorëve të peshkimit dhe modularët </w:t>
      </w:r>
      <w:r w:rsidRPr="009F3AF7">
        <w:rPr>
          <w:rFonts w:ascii="Garamond" w:hAnsi="Garamond"/>
          <w:sz w:val="24"/>
          <w:szCs w:val="24"/>
        </w:rPr>
        <w:lastRenderedPageBreak/>
        <w:t>përkatës;</w:t>
      </w:r>
    </w:p>
    <w:p w:rsidR="00DE01D0" w:rsidRPr="009F3AF7" w:rsidRDefault="00DE01D0" w:rsidP="00DE01D0">
      <w:pPr>
        <w:pStyle w:val="Paragrafi"/>
        <w:rPr>
          <w:rFonts w:ascii="Garamond" w:hAnsi="Garamond"/>
          <w:sz w:val="24"/>
          <w:szCs w:val="24"/>
        </w:rPr>
      </w:pPr>
      <w:r w:rsidRPr="009F3AF7">
        <w:rPr>
          <w:rFonts w:ascii="Garamond" w:hAnsi="Garamond"/>
          <w:sz w:val="24"/>
          <w:szCs w:val="24"/>
        </w:rPr>
        <w:t>q) procedurat për themelimin e organizatës, përfshirë format dhe përmbajtjen e statuteve;</w:t>
      </w:r>
    </w:p>
    <w:p w:rsidR="00DE01D0" w:rsidRPr="009F3AF7" w:rsidRDefault="00DE01D0" w:rsidP="00DE01D0">
      <w:pPr>
        <w:pStyle w:val="Paragrafi"/>
        <w:rPr>
          <w:rFonts w:ascii="Garamond" w:hAnsi="Garamond"/>
          <w:sz w:val="24"/>
          <w:szCs w:val="24"/>
        </w:rPr>
      </w:pPr>
      <w:r w:rsidRPr="009F3AF7">
        <w:rPr>
          <w:rFonts w:ascii="Garamond" w:hAnsi="Garamond"/>
          <w:sz w:val="24"/>
          <w:szCs w:val="24"/>
        </w:rPr>
        <w:t>r) librat, regjistrat që mbahen nga organizatat dhe procedurat financiare;</w:t>
      </w:r>
    </w:p>
    <w:p w:rsidR="00DE01D0" w:rsidRPr="009F3AF7" w:rsidRDefault="00DE01D0" w:rsidP="00DE01D0">
      <w:pPr>
        <w:pStyle w:val="Paragrafi"/>
        <w:rPr>
          <w:rFonts w:ascii="Garamond" w:hAnsi="Garamond"/>
          <w:sz w:val="24"/>
          <w:szCs w:val="24"/>
        </w:rPr>
      </w:pPr>
      <w:r w:rsidRPr="009F3AF7">
        <w:rPr>
          <w:rFonts w:ascii="Garamond" w:hAnsi="Garamond"/>
          <w:sz w:val="24"/>
          <w:szCs w:val="24"/>
        </w:rPr>
        <w:t>rr) puna e Komitetit të Monitorimit dhe procedurat e kontrollit;</w:t>
      </w:r>
    </w:p>
    <w:p w:rsidR="00DE01D0" w:rsidRPr="009F3AF7" w:rsidRDefault="00DE01D0" w:rsidP="00DE01D0">
      <w:pPr>
        <w:pStyle w:val="Paragrafi"/>
        <w:rPr>
          <w:rFonts w:ascii="Garamond" w:hAnsi="Garamond"/>
          <w:sz w:val="24"/>
          <w:szCs w:val="24"/>
        </w:rPr>
      </w:pPr>
      <w:r w:rsidRPr="009F3AF7">
        <w:rPr>
          <w:rFonts w:ascii="Garamond" w:hAnsi="Garamond"/>
          <w:sz w:val="24"/>
          <w:szCs w:val="24"/>
        </w:rPr>
        <w:t>s) krijimi dhe funksionimi i Komitetit të Monitorimit, përfshirë mbajtjen e regjistrave të organizatave të menaxhimit të peshkimit dhe procedurat e kontrollit që do të ndiqen;</w:t>
      </w:r>
    </w:p>
    <w:p w:rsidR="00DE01D0" w:rsidRPr="009F3AF7" w:rsidRDefault="00DE01D0" w:rsidP="00397046">
      <w:pPr>
        <w:pStyle w:val="Paragrafi"/>
        <w:rPr>
          <w:rFonts w:ascii="Garamond" w:hAnsi="Garamond"/>
          <w:sz w:val="24"/>
          <w:szCs w:val="24"/>
        </w:rPr>
      </w:pPr>
      <w:r w:rsidRPr="009F3AF7">
        <w:rPr>
          <w:rFonts w:ascii="Garamond" w:hAnsi="Garamond"/>
          <w:sz w:val="24"/>
          <w:szCs w:val="24"/>
        </w:rPr>
        <w:t xml:space="preserve">sh) mënyra e përdorimit të porteve dhe e qendrave të peshkimit, që u </w:t>
      </w:r>
      <w:r w:rsidRPr="009F3AF7">
        <w:rPr>
          <w:rFonts w:ascii="Garamond" w:hAnsi="Garamond"/>
          <w:sz w:val="24"/>
          <w:szCs w:val="24"/>
        </w:rPr>
        <w:t>janë transferuar organizatave.</w:t>
      </w:r>
    </w:p>
    <w:p w:rsidR="00397046" w:rsidRPr="009F3AF7" w:rsidRDefault="00397046" w:rsidP="00397046">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33</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Kualifikimi profesional</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Ministria jep mendimin e vet për përshtatjen dhe zbatimin e programeve në lëmin e disiplinave të zbatuara në peshkim dhe akuakulturë, që zhvillohen në shkolla ose në kurse të ndryshme kualifikimi.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2. Ministria, në bashkëpunim me Komisionin për koordinimin e kërkimit shkencor e teknologjik, kujdeset që të krijohen kurse në lëmin e peshkimit e akuakulturës për kualifikimin dhe formimin profesional. </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IX</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KONTROLLI</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34</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Organet e kontrollit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Kontrolli për zbatimin e këtij ligji e të rregulloreve që rrjedhin prej tij, ushtrohet nga Inspektorati i peshkimit, sipas nenit 36 të këtij ligji. Bashkëpunojnë për këtë qëllim Inspektorati i mbrojtjes së mjedisit, policia e rendit e financiare, kapiteneritë e porteve, Forcat e Armatosura dhe çdo organ tjetër që ngarkohet nga qeveria.</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35</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Bashkërendimi</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Ministria e bashkërendon veprimtarinë e organeve të kontrollit mbi peshkimin dhe akuakulturën.</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36</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Inspektorati i peshkimit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Krijohet Inspektorati i peshkimit, i cili është organi përgjegjës e kompetent për kontrollin e zbatimit të këtij ligji e të akteve nënligjore që rrjedhin prej tij.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Inspektorati i peshkimit krijohet pranë ministrisë, si sektor brenda Drejtorisë së peshkimit dhe ka zyra në vende të ndryshme, ku shihet e nevojshme, me qëllim që të sigurojë zbatimin e këtij ligji e të akteve nënligjore që rrjedhin prej tij.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Struktura dhe organizimi i Inspektoratit të peshkimit përcaktohet nga Këshilli i Ministrave, në bazë të propozimit të bërë nga ministria.</w:t>
      </w:r>
    </w:p>
    <w:p w:rsidR="00F35EA4" w:rsidRPr="009F3AF7" w:rsidRDefault="00F35EA4" w:rsidP="00F35EA4">
      <w:pPr>
        <w:pStyle w:val="Paragrafi"/>
        <w:rPr>
          <w:rFonts w:ascii="Garamond" w:hAnsi="Garamond"/>
          <w:sz w:val="24"/>
          <w:szCs w:val="24"/>
        </w:rPr>
      </w:pPr>
      <w:r w:rsidRPr="009F3AF7">
        <w:rPr>
          <w:rFonts w:ascii="Garamond" w:hAnsi="Garamond"/>
          <w:sz w:val="24"/>
          <w:szCs w:val="24"/>
        </w:rPr>
        <w:t>4. Emërimi i çdo inspektori të peshkimit bëhet nga ministri, mbi bazën e propozimit të Drejtorisë së peshkimit.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5. Kompetencat e inspektorëve të peshkimit përcaktohen me vendim të Këshillit të Ministrave.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6. Ministri mund të autorizojë funksionarë të veçantë të Drejtorisë së peshkimit për të kryer </w:t>
      </w:r>
      <w:r w:rsidRPr="009F3AF7">
        <w:rPr>
          <w:rFonts w:ascii="Garamond" w:hAnsi="Garamond"/>
          <w:sz w:val="24"/>
          <w:szCs w:val="24"/>
        </w:rPr>
        <w:lastRenderedPageBreak/>
        <w:t>funksionet e insektorëve të peshkimit.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37</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Detyrat dhe të drejtat e inspektorëve të peshkimit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Inspektorët e peshkimit, sa herë që vërejnë shkelje të këtij ligji dhe të akteve nënligjore që rrjedhin prej tij, kanë detyrë dhe të drejtë të: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ndalojnë fajtorin dhe eventualisht anijen, me të cilën është konstatuar shkelja, si dhe të kontestojnë shkeljen;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kërkojnë shkelësit gjeneralitetet;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përpilojnë procesverbalin, duke treguar gjeneralitetet e atij që ka kryer shkeljen, dispozitat e shkelura, sendet që eventualisht konfiskohen sipas pikës (f), licencën ose autorizimin e ndërprerë sipas pikës (g) mundësisht menjëherë, por jo më vonë se 15 ditë nga konstatimi i faktit;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ndalojnë e çojnë menjëherë në postën më të afërt të policisë personat e ndaluar, në rast se refuzojnë të japin gjeneralitetet e tyre ose kur dyshohet se ato janë të pasakta, si dhe në rastet kur shkelja përbën vepër penale;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e) në rastet kur shkelja përbën vepër penale, të bëjnë kallëzim në organet gjyqësore;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f) sekuestrojnë sendet e përdorura për kryerjen e shkeljes, ose që janë pasojë e shkeljes, në çdo rast sipas dispozitave ligjore që lejojnë organet e policisë për sekuestrim, deri në momentin e vendimit të Komisionit (neni 43);</w:t>
      </w:r>
    </w:p>
    <w:p w:rsidR="00F35EA4" w:rsidRPr="009F3AF7" w:rsidRDefault="00F35EA4" w:rsidP="00F35EA4">
      <w:pPr>
        <w:pStyle w:val="Paragrafi"/>
        <w:rPr>
          <w:rFonts w:ascii="Garamond" w:hAnsi="Garamond"/>
          <w:sz w:val="24"/>
          <w:szCs w:val="24"/>
        </w:rPr>
      </w:pPr>
      <w:r w:rsidRPr="009F3AF7">
        <w:rPr>
          <w:rFonts w:ascii="Garamond" w:hAnsi="Garamond"/>
          <w:sz w:val="24"/>
          <w:szCs w:val="24"/>
        </w:rPr>
        <w:t>g) ndërpresin vlefshmërinë e licencës ose autorizimit të lëshuar në bazë të këtij ligji, deri në vendimin që do të merret nga Komisioni për këtë shkelje (neni 45).</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38</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Inspektimi dhe kërkesa e informacionit</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Inspektorët e peshkimit në çdo moment mund të inspektojnë mjetet lundruese, impiantet, stabilimentet dhe ekonomitë e peshkimit e të akuakulturës, vendet e depozitimit dhe të shitjes, mjetet e transportit të prodhimeve peshkore dhe pajisjet e peshkimit e t’i kërkojnë kujtdo informacionin që lidhet me këto, e së fundi të sqarojnë respektimin e normave për disiplinën e peshkimit dhe të akuakulturës.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Inspektorët e peshkimit në çdo moment mund t’i kërkojnë paraqitjen e licencës ose të autorizimit të lëshuar mbi bazën e këtij ligji e të akteve nënligjore që rrjehdin prej tij, cilitdo që zhvillon një veprimtari, për të cilin këto licenca e autorizime janë të domosdoshme në bazë të këtij ligji.</w:t>
      </w:r>
    </w:p>
    <w:p w:rsidR="00F35EA4" w:rsidRPr="009F3AF7" w:rsidRDefault="00F35EA4" w:rsidP="00F35EA4">
      <w:pPr>
        <w:pStyle w:val="Paragrafi"/>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t>KREU X</w:t>
      </w:r>
    </w:p>
    <w:p w:rsidR="00F35EA4" w:rsidRPr="009F3AF7" w:rsidRDefault="009B3450" w:rsidP="00F35EA4">
      <w:pPr>
        <w:pStyle w:val="KreuTitull"/>
        <w:rPr>
          <w:rFonts w:ascii="Garamond" w:hAnsi="Garamond"/>
          <w:sz w:val="24"/>
          <w:szCs w:val="24"/>
        </w:rPr>
      </w:pPr>
      <w:r w:rsidRPr="009F3AF7">
        <w:rPr>
          <w:rFonts w:ascii="Garamond" w:hAnsi="Garamond"/>
          <w:sz w:val="24"/>
          <w:szCs w:val="24"/>
        </w:rPr>
        <w:t xml:space="preserve">KUNDËRVAJTJET, </w:t>
      </w:r>
      <w:r w:rsidR="00F35EA4" w:rsidRPr="009F3AF7">
        <w:rPr>
          <w:rFonts w:ascii="Garamond" w:hAnsi="Garamond"/>
          <w:sz w:val="24"/>
          <w:szCs w:val="24"/>
        </w:rPr>
        <w:t>SANKSIONET DHE PËRGJEGJËSITË</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39</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Kundërvajtjet administrative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A) 1. Cilido që zhvillon veprimtari kërkimore pa autorizimin sipas nenit 10, ose në kundrështim me kushtet e përcaktuara në autorizim, dënohet me gjobë nga 100 mijë deri në 300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Cilido që ushtron peshkimin profesional pa qenë i regjistruar në regjistër sipas nenit 12, dënohet me gjobë nga 10 mijë deri në 50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Kur një mjet lundrues përdoret për peshkim profesional pa qenë e regjistruar në regjistrin e mjeteve lundruese të peshkimit sipas nenit 13, pronari ose kapiteni i mjetit lundrues dënohet me gjobë nga 50 mijë deri në 200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4. Cilido që ushtron peshkim profesional pa mjete lundruese dhe nuk është i pajisur me </w:t>
      </w:r>
      <w:r w:rsidRPr="009F3AF7">
        <w:rPr>
          <w:rFonts w:ascii="Garamond" w:hAnsi="Garamond"/>
          <w:sz w:val="24"/>
          <w:szCs w:val="24"/>
        </w:rPr>
        <w:lastRenderedPageBreak/>
        <w:t>licencë sipas nenit 15, dënohet me gjobë nga 100 mijë deri në 1 milion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5. Kur një mjet lundrues shqiptare përdoret për veprimtari të peshkimit profesional me metodën artizanale, pa qenë i pajisur me licencë sipas nenit 15, pronari ose kapiteni imjetit lundrues dënohet me gjobë nga 100 mijë deri në 1 milion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6. Kur një mjet lundrues shqiptar përdoret për peshkim profesional me metodën industriale, pa qenë i pajisur me licencë sipas nenit 18 pronari ose kapiteni i mjetit luundrues dënohet me gjobë nga 5 milionë deri në 10 milionë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7. Cilido që ushtron peshkimin profesional në kundërshtim me kushtet e parashikuara në licencë, dënohet me gjobë nga 500 mijë deri në 1 milionë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8. Cilido që peshkon:</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në zona e periudha të ndaluara nga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me mjete lundruese, pajisje fikse ose të lëvizhme, të ndaluara nga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organizma ujorë të llojeve të ndryshme, të ndaluara nga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organizma ujorë të përmasave të ndaluara nga aktet nënligjore për zbatimin e këtij ligji;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në sasi më të mëdha se ato të fiksuara si sasi maksimale nga aktet nënligjore për zbatimin e këtij ligji ose nga licenca e lëshuar;</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dh) duke përdorur pajisje nënujore të ndaluara - dënohet me gjobë nga 100 mijë deri në 3 milionë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9. Cilido që peshkon vetë, larva e të vegjël të çfarëdo organizmi ujor, pa qenë i pajisur me autorizim, dënohet me gjobë nga 100 mijë deri në 2 milionë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10. Cilido që përvetëson prodhimin e peshkimit të të tretëve ose në ndonjë mënyrë tjetër shkel dispozitat e nenit 24, pika c, dënohet me gjobë nga 5 mijë deri në 10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12. Cilido që ndryshon cilësinë e ujërave ose drejtimin e rrjedhës së tyre në mënyrë të tillë që dëmton habitatin e organizmave ujorë, përveç autorizimit në bazë të ligjit, dënohet me gjobë nga 100 mijë deri në 2 milionë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13. Cilido që peshkon korale e sfungjerë, dënohet me gjobë nga 15 milionë deri në 20 milionë lekë dhe në konfiskimin e mjetit lundrues.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14. Cilido që zhvillon veprimtarinë e peshkimit sportiv me përdorim të një mjeti lundrues, pa qenë i pajisur me licencë ose në kundërshtim me nenin 23, dënohet me gjobë nga 5 mijë deri në 10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15. Cilido që i jep një pushkë nënujore një personi nën moshën 16 vjeçare për të peshkuar, dënohet me gjobë nga 5 mijë deri në 10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16. Cilido titullar licence të peshkimit profesional ose sporti që kundërshton të paraqesë informacionet që kërkohen në bazë të këtij ligji e të akteve nënligjore për zbatimin e tij ose paraqet informacione joreale e të pasakta, dënohet me gjobë nga 10 mijë deri në 50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17. Cilido që zhvillon veprimtari akuakulture pa qenë i pajisur me licencë ose në kundërshtim me kushtet e parashikuara në licencë, dënohet me gjobë nga 100 mijë deri në 500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18. Kur një anije e huaj zhvillon veprimtarinë e peshkimit në ujërat e Republikës së Shqipërisë pa qenë i pajisur me licencë sipas nenit 23, ose në kundërshtim me kushtet e licencës, pronari ose kapiteni i anijes dënohet me gjobë nga 25 milionë deri në 40 milionë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19. Cilido që zhvillon veprimtaritë e lidhura me peshkimin pa autorizimin përkatës, dënohet me gjobë nga 100 mijë në 5 milionë lekë. Kur përdoret anije për zhvillimin e këtyre veprimtarive, pronari ose kapiteni i anijes.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20. Cilido që nuk pranon a pengon inspektimet nga ana e organeve të kontrollit sipas nenit 34 ose kundërshton t’u paraqesë organeve të kontrollit licencat ose autorizimet e kërkuara në bazë të këtij ligji e të akteve nënligjore për zbatimin e tij, dënohet me gjobë nga 100 mijë deri në 500 mijë lekë.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 xml:space="preserve">B) Cilido që përdor lëndë plasëse, kimike e helmuese, energji elektrike të afta të trullosin, </w:t>
      </w:r>
      <w:r w:rsidRPr="009F3AF7">
        <w:rPr>
          <w:rFonts w:ascii="Garamond" w:hAnsi="Garamond"/>
          <w:sz w:val="24"/>
          <w:szCs w:val="24"/>
        </w:rPr>
        <w:lastRenderedPageBreak/>
        <w:t>paralizojnë ose vrasin peshqit e organizmat e tjerë ujorë, si dhe grumbullon, transporton e tregton këto lloj prodhimesh, dënohet sips dispozitave të Kodit Penal.</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40</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Sanksione plotësuese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Për shkeljet e mësipërme të ligjit zbatohen edhe këto sanksione plotësuese: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a) konfiskimi i produkteve të peshkuara, me përjashtim të rastit kur kjo është kërkuar nga përfituesi sipas ligjit;</w:t>
      </w:r>
    </w:p>
    <w:p w:rsidR="00F35EA4" w:rsidRPr="009F3AF7" w:rsidRDefault="00F35EA4" w:rsidP="00F35EA4">
      <w:pPr>
        <w:pStyle w:val="Paragrafi"/>
        <w:rPr>
          <w:rFonts w:ascii="Garamond" w:hAnsi="Garamond"/>
          <w:sz w:val="24"/>
          <w:szCs w:val="24"/>
        </w:rPr>
      </w:pPr>
      <w:r w:rsidRPr="009F3AF7">
        <w:rPr>
          <w:rFonts w:ascii="Garamond" w:hAnsi="Garamond"/>
          <w:sz w:val="24"/>
          <w:szCs w:val="24"/>
        </w:rPr>
        <w:t>b) konfiskimi i mjeteve dhe pajisjeve të përdorura në kundërshtim me dispozitat e këtij ligji e akteve nënligjore që rrjehdin prej tij, si dhe konfiskimi i anijes e mjetit tjetër lundrues;</w:t>
      </w:r>
    </w:p>
    <w:p w:rsidR="00F35EA4" w:rsidRPr="009F3AF7" w:rsidRDefault="00F35EA4" w:rsidP="00F35EA4">
      <w:pPr>
        <w:pStyle w:val="Paragrafi"/>
        <w:rPr>
          <w:rFonts w:ascii="Garamond" w:hAnsi="Garamond"/>
          <w:sz w:val="24"/>
          <w:szCs w:val="24"/>
        </w:rPr>
      </w:pPr>
      <w:r w:rsidRPr="009F3AF7">
        <w:rPr>
          <w:rFonts w:ascii="Garamond" w:hAnsi="Garamond"/>
          <w:sz w:val="24"/>
          <w:szCs w:val="24"/>
        </w:rPr>
        <w:t>c) ndërprerja e licencës ose e autorizimit të lëshuar në bazë të këtij ligji e të rregullave për zbatimin e tij për një periudhë jo më të gjatë se 6 muaj, e në rast përsëritjeje të së njëjtës kundërvajtje, deri në ndërprerjen e përhershme të tyre.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ç) çregjistrimi nga regjistri i peshkatarëve për një periudhë jo më të gjatë se 6 muaj, ose në rast përsëritje të së njëjtës kundërvajtje, deri në ndërprerjen e përhershme të tij;</w:t>
      </w:r>
    </w:p>
    <w:p w:rsidR="00F35EA4" w:rsidRPr="009F3AF7" w:rsidRDefault="00F35EA4" w:rsidP="00F35EA4">
      <w:pPr>
        <w:pStyle w:val="Paragrafi"/>
        <w:rPr>
          <w:rFonts w:ascii="Garamond" w:hAnsi="Garamond"/>
          <w:sz w:val="24"/>
          <w:szCs w:val="24"/>
        </w:rPr>
      </w:pPr>
      <w:r w:rsidRPr="009F3AF7">
        <w:rPr>
          <w:rFonts w:ascii="Garamond" w:hAnsi="Garamond"/>
          <w:sz w:val="24"/>
          <w:szCs w:val="24"/>
        </w:rPr>
        <w:t>d) në rastet e enteve të njohura të kërkimit, u hiqet statusi i institucionit të njohur të kërkimit.</w:t>
      </w:r>
    </w:p>
    <w:p w:rsidR="00F35EA4" w:rsidRPr="009F3AF7" w:rsidRDefault="00F35EA4" w:rsidP="00F35EA4">
      <w:pPr>
        <w:pStyle w:val="NeniNr"/>
        <w:rPr>
          <w:rFonts w:ascii="Garamond" w:hAnsi="Garamond"/>
          <w:sz w:val="24"/>
          <w:szCs w:val="24"/>
        </w:rPr>
      </w:pPr>
      <w:r w:rsidRPr="009F3AF7">
        <w:rPr>
          <w:rFonts w:ascii="Garamond" w:hAnsi="Garamond"/>
          <w:sz w:val="24"/>
          <w:szCs w:val="24"/>
        </w:rPr>
        <w:t>Neni 41</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Zhdëmtimi</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E drejta për zhdëmtimin e dëmeve të shkaktuara në rastet e shkeljeve të këtij ligji përcaktohet mbi bazën e ligjeve në fuqi.</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Për kundërvajtjet e parashikuara nga ky ligj, shteti i përfaqësuar nga ministri ka të drejtën të kërkojë zhdëmtimin e dëmit.</w:t>
      </w:r>
    </w:p>
    <w:p w:rsidR="00F35EA4" w:rsidRPr="009F3AF7" w:rsidRDefault="00F35EA4" w:rsidP="00F35EA4">
      <w:pPr>
        <w:pStyle w:val="NeniNr"/>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42</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Përgjegjësia civile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Pronari i anijes, sipërmarrësi, kapiteni i anijes ose subjekti i peshkimit dhe akuakulturës janë personalisht e juridikisht përgjegjës për gjobat dhe sanksionet administrative të vendosura ndaj ndihmësve e vartësve të tyre për shkeljet e këtij ligji.</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43</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Shqyrtimi i kundërvajtjeve administrative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1. Për të marrë vendimet pas shqyrtimit të kundërvajtjeve administrative sipas nenit 39 dhe të sanksioneve plotësuese sipas nenit 40, ministri krijon një komision të përhershëm pranë ministrisë.</w:t>
      </w:r>
    </w:p>
    <w:p w:rsidR="00F35EA4" w:rsidRPr="009F3AF7" w:rsidRDefault="00F35EA4" w:rsidP="00F35EA4">
      <w:pPr>
        <w:pStyle w:val="Paragrafi"/>
        <w:rPr>
          <w:rFonts w:ascii="Garamond" w:hAnsi="Garamond"/>
          <w:sz w:val="24"/>
          <w:szCs w:val="24"/>
        </w:rPr>
      </w:pPr>
      <w:r w:rsidRPr="009F3AF7">
        <w:rPr>
          <w:rFonts w:ascii="Garamond" w:hAnsi="Garamond"/>
          <w:sz w:val="24"/>
          <w:szCs w:val="24"/>
        </w:rPr>
        <w:t>2. Komisioni përbëhet nga një numër tek personash dhe merr vendime me shumicë votash, pas shqyrtimit të kundërvajtjeve administrative sipas këtij ligji ose akteve nënligjore për zbatimin e tij, si dhe për zbatimin e sanksioneve plotësuese.</w:t>
      </w:r>
    </w:p>
    <w:p w:rsidR="00F35EA4" w:rsidRPr="009F3AF7" w:rsidRDefault="00F35EA4" w:rsidP="00F35EA4">
      <w:pPr>
        <w:pStyle w:val="Paragrafi"/>
        <w:rPr>
          <w:rFonts w:ascii="Garamond" w:hAnsi="Garamond"/>
          <w:sz w:val="24"/>
          <w:szCs w:val="24"/>
        </w:rPr>
      </w:pPr>
      <w:r w:rsidRPr="009F3AF7">
        <w:rPr>
          <w:rFonts w:ascii="Garamond" w:hAnsi="Garamond"/>
          <w:sz w:val="24"/>
          <w:szCs w:val="24"/>
        </w:rPr>
        <w:t>3. Komisioni thërret, me njoftim paraprak, personat fajtorë për kryerjen e kundërvajtjes në bazë të procesverbalit sipas nenit 37. Procedura e gjykimit para komisionit zhvillohet në bazë të ligjit në fuqi “Për kundërvajtjet administrative”.</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44</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Ankimi në gjykatë</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Kundër çdo dënimi të dhënë nga komisioni sipas nenit 43 mund të bëhet ankim në gjykatë.</w:t>
      </w:r>
    </w:p>
    <w:p w:rsidR="00F35EA4" w:rsidRPr="009F3AF7" w:rsidRDefault="00F35EA4" w:rsidP="00F35EA4">
      <w:pPr>
        <w:pStyle w:val="Paragrafi"/>
        <w:ind w:firstLine="0"/>
        <w:rPr>
          <w:rFonts w:ascii="Garamond" w:hAnsi="Garamond"/>
          <w:sz w:val="24"/>
          <w:szCs w:val="24"/>
        </w:rPr>
      </w:pPr>
    </w:p>
    <w:p w:rsidR="00F35EA4" w:rsidRPr="009F3AF7" w:rsidRDefault="00F35EA4" w:rsidP="00F35EA4">
      <w:pPr>
        <w:pStyle w:val="KreuNr"/>
        <w:rPr>
          <w:rFonts w:ascii="Garamond" w:hAnsi="Garamond"/>
          <w:sz w:val="24"/>
          <w:szCs w:val="24"/>
        </w:rPr>
      </w:pPr>
      <w:r w:rsidRPr="009F3AF7">
        <w:rPr>
          <w:rFonts w:ascii="Garamond" w:hAnsi="Garamond"/>
          <w:sz w:val="24"/>
          <w:szCs w:val="24"/>
        </w:rPr>
        <w:lastRenderedPageBreak/>
        <w:t>KREU XI</w:t>
      </w:r>
    </w:p>
    <w:p w:rsidR="00F35EA4" w:rsidRPr="009F3AF7" w:rsidRDefault="00F35EA4" w:rsidP="00F35EA4">
      <w:pPr>
        <w:pStyle w:val="KreuTitull"/>
        <w:rPr>
          <w:rFonts w:ascii="Garamond" w:hAnsi="Garamond"/>
          <w:sz w:val="24"/>
          <w:szCs w:val="24"/>
        </w:rPr>
      </w:pPr>
      <w:r w:rsidRPr="009F3AF7">
        <w:rPr>
          <w:rFonts w:ascii="Garamond" w:hAnsi="Garamond"/>
          <w:sz w:val="24"/>
          <w:szCs w:val="24"/>
        </w:rPr>
        <w:t>DISPOZITA TË FUNDIT</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45</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Shfuqizimet</w:t>
      </w:r>
    </w:p>
    <w:p w:rsidR="00F35EA4" w:rsidRPr="009F3AF7" w:rsidRDefault="00F35EA4" w:rsidP="00F35EA4">
      <w:pPr>
        <w:pStyle w:val="Paragrafi"/>
        <w:rPr>
          <w:rFonts w:ascii="Garamond" w:hAnsi="Garamond"/>
          <w:sz w:val="24"/>
          <w:szCs w:val="24"/>
        </w:rPr>
      </w:pPr>
    </w:p>
    <w:p w:rsidR="00F35EA4" w:rsidRPr="009F3AF7" w:rsidRDefault="00C57995" w:rsidP="00F35EA4">
      <w:pPr>
        <w:pStyle w:val="Paragrafi"/>
        <w:rPr>
          <w:rFonts w:ascii="Garamond" w:hAnsi="Garamond"/>
          <w:sz w:val="24"/>
          <w:szCs w:val="24"/>
        </w:rPr>
      </w:pPr>
      <w:r w:rsidRPr="009F3AF7">
        <w:rPr>
          <w:rFonts w:ascii="Garamond" w:hAnsi="Garamond"/>
          <w:sz w:val="24"/>
          <w:szCs w:val="24"/>
        </w:rPr>
        <w:t>Neni nr.</w:t>
      </w:r>
      <w:r w:rsidR="004A230F" w:rsidRPr="009F3AF7">
        <w:rPr>
          <w:rFonts w:ascii="Garamond" w:hAnsi="Garamond"/>
          <w:sz w:val="24"/>
          <w:szCs w:val="24"/>
        </w:rPr>
        <w:t xml:space="preserve"> </w:t>
      </w:r>
      <w:r w:rsidR="00F35EA4" w:rsidRPr="009F3AF7">
        <w:rPr>
          <w:rFonts w:ascii="Garamond" w:hAnsi="Garamond"/>
          <w:sz w:val="24"/>
          <w:szCs w:val="24"/>
        </w:rPr>
        <w:t>6071, datë 25.12.1979 “Për ekonominë e peshkimit”, shfuqizohet</w:t>
      </w:r>
      <w:r w:rsidR="0068160E" w:rsidRPr="009F3AF7">
        <w:rPr>
          <w:rFonts w:ascii="Garamond" w:hAnsi="Garamond"/>
          <w:sz w:val="24"/>
          <w:szCs w:val="24"/>
        </w:rPr>
        <w:t>,</w:t>
      </w:r>
      <w:r w:rsidR="00F35EA4" w:rsidRPr="009F3AF7">
        <w:rPr>
          <w:rFonts w:ascii="Garamond" w:hAnsi="Garamond"/>
          <w:sz w:val="24"/>
          <w:szCs w:val="24"/>
        </w:rPr>
        <w:t xml:space="preserve"> si dhe çdo dispozitë tjetër që bie në kundërshtim me këtë ligj, shfuqizohen.</w:t>
      </w:r>
    </w:p>
    <w:p w:rsidR="00F35EA4" w:rsidRPr="009F3AF7" w:rsidRDefault="00F35EA4" w:rsidP="00F35EA4">
      <w:pPr>
        <w:pStyle w:val="Paragrafi"/>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46</w:t>
      </w:r>
    </w:p>
    <w:p w:rsidR="00F35EA4" w:rsidRPr="009F3AF7" w:rsidRDefault="00F35EA4" w:rsidP="00F35EA4">
      <w:pPr>
        <w:pStyle w:val="NeniTitull"/>
        <w:rPr>
          <w:rFonts w:ascii="Garamond" w:hAnsi="Garamond"/>
          <w:sz w:val="24"/>
          <w:szCs w:val="24"/>
        </w:rPr>
      </w:pPr>
      <w:r w:rsidRPr="009F3AF7">
        <w:rPr>
          <w:rFonts w:ascii="Garamond" w:hAnsi="Garamond"/>
          <w:sz w:val="24"/>
          <w:szCs w:val="24"/>
        </w:rPr>
        <w:t>Dispozita të përkohshme</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Ministria, brenda 3 muajve nga data e hyrjes në fuqi e këtij ligji, të nxjerrë një rregullore për zbatimin e tij.</w:t>
      </w:r>
    </w:p>
    <w:p w:rsidR="00F35EA4" w:rsidRPr="009F3AF7" w:rsidRDefault="00F35EA4" w:rsidP="00F35EA4">
      <w:pPr>
        <w:pStyle w:val="NeniNr"/>
        <w:rPr>
          <w:rFonts w:ascii="Garamond" w:hAnsi="Garamond"/>
          <w:sz w:val="24"/>
          <w:szCs w:val="24"/>
        </w:rPr>
      </w:pPr>
    </w:p>
    <w:p w:rsidR="00F35EA4" w:rsidRPr="009F3AF7" w:rsidRDefault="00F35EA4" w:rsidP="00F35EA4">
      <w:pPr>
        <w:pStyle w:val="NeniNr"/>
        <w:rPr>
          <w:rFonts w:ascii="Garamond" w:hAnsi="Garamond"/>
          <w:sz w:val="24"/>
          <w:szCs w:val="24"/>
        </w:rPr>
      </w:pPr>
      <w:r w:rsidRPr="009F3AF7">
        <w:rPr>
          <w:rFonts w:ascii="Garamond" w:hAnsi="Garamond"/>
          <w:sz w:val="24"/>
          <w:szCs w:val="24"/>
        </w:rPr>
        <w:t>Neni 47</w:t>
      </w:r>
    </w:p>
    <w:p w:rsidR="00F35EA4" w:rsidRPr="009F3AF7" w:rsidRDefault="00F35EA4" w:rsidP="00F35EA4">
      <w:pPr>
        <w:pStyle w:val="Paragrafi"/>
        <w:rPr>
          <w:rFonts w:ascii="Garamond" w:hAnsi="Garamond"/>
          <w:sz w:val="24"/>
          <w:szCs w:val="24"/>
        </w:rPr>
      </w:pPr>
    </w:p>
    <w:p w:rsidR="00F35EA4" w:rsidRPr="009F3AF7" w:rsidRDefault="00F35EA4" w:rsidP="00F35EA4">
      <w:pPr>
        <w:pStyle w:val="Paragrafi"/>
        <w:rPr>
          <w:rFonts w:ascii="Garamond" w:hAnsi="Garamond"/>
          <w:sz w:val="24"/>
          <w:szCs w:val="24"/>
        </w:rPr>
      </w:pPr>
      <w:r w:rsidRPr="009F3AF7">
        <w:rPr>
          <w:rFonts w:ascii="Garamond" w:hAnsi="Garamond"/>
          <w:sz w:val="24"/>
          <w:szCs w:val="24"/>
        </w:rPr>
        <w:t>Ky ligj hyn në fuqi pesëmbëdhjetë ditë pas botimit në Fletoren Zyrtare.</w:t>
      </w:r>
    </w:p>
    <w:p w:rsidR="00F35EA4" w:rsidRPr="009F3AF7" w:rsidRDefault="00F35EA4" w:rsidP="00F35EA4">
      <w:pPr>
        <w:pStyle w:val="Paragrafi"/>
        <w:rPr>
          <w:rFonts w:ascii="Garamond" w:hAnsi="Garamond"/>
          <w:sz w:val="24"/>
          <w:szCs w:val="24"/>
        </w:rPr>
      </w:pPr>
    </w:p>
    <w:p w:rsidR="00F35EA4" w:rsidRPr="009F3AF7" w:rsidRDefault="00F35EA4" w:rsidP="00F35EA4">
      <w:pPr>
        <w:pStyle w:val="Shpallja"/>
        <w:rPr>
          <w:rFonts w:ascii="Garamond" w:hAnsi="Garamond"/>
          <w:color w:val="auto"/>
          <w:sz w:val="24"/>
          <w:szCs w:val="24"/>
        </w:rPr>
      </w:pPr>
      <w:r w:rsidRPr="009F3AF7">
        <w:rPr>
          <w:rFonts w:ascii="Garamond" w:hAnsi="Garamond"/>
          <w:color w:val="auto"/>
          <w:sz w:val="24"/>
          <w:szCs w:val="24"/>
        </w:rPr>
        <w:t>Shpallur me dekretin nr.</w:t>
      </w:r>
      <w:r w:rsidR="009B3450" w:rsidRPr="009F3AF7">
        <w:rPr>
          <w:rFonts w:ascii="Garamond" w:hAnsi="Garamond"/>
          <w:color w:val="auto"/>
          <w:sz w:val="24"/>
          <w:szCs w:val="24"/>
        </w:rPr>
        <w:t xml:space="preserve"> </w:t>
      </w:r>
      <w:r w:rsidRPr="009F3AF7">
        <w:rPr>
          <w:rFonts w:ascii="Garamond" w:hAnsi="Garamond"/>
          <w:color w:val="auto"/>
          <w:sz w:val="24"/>
          <w:szCs w:val="24"/>
        </w:rPr>
        <w:t>1066, datë 18.4. 1995 të Presidentit të Republikës së Shqipërisë, Sali Berisha</w:t>
      </w:r>
    </w:p>
    <w:bookmarkEnd w:id="0"/>
    <w:p w:rsidR="00A0784B" w:rsidRPr="009F3AF7" w:rsidRDefault="00A0784B" w:rsidP="003941D1">
      <w:pPr>
        <w:pStyle w:val="Paragrafi"/>
        <w:rPr>
          <w:rFonts w:ascii="Garamond" w:hAnsi="Garamond"/>
          <w:sz w:val="24"/>
          <w:szCs w:val="24"/>
        </w:rPr>
      </w:pPr>
    </w:p>
    <w:sectPr w:rsidR="00A0784B" w:rsidRPr="009F3AF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941A3"/>
    <w:rsid w:val="002C6BAB"/>
    <w:rsid w:val="002D303F"/>
    <w:rsid w:val="00304413"/>
    <w:rsid w:val="00337CEA"/>
    <w:rsid w:val="00354A65"/>
    <w:rsid w:val="00383FD5"/>
    <w:rsid w:val="003941D1"/>
    <w:rsid w:val="00397046"/>
    <w:rsid w:val="003B69B4"/>
    <w:rsid w:val="003E06F6"/>
    <w:rsid w:val="003F043A"/>
    <w:rsid w:val="004107B9"/>
    <w:rsid w:val="00411E6E"/>
    <w:rsid w:val="004477EC"/>
    <w:rsid w:val="00460373"/>
    <w:rsid w:val="00470F9C"/>
    <w:rsid w:val="004A230F"/>
    <w:rsid w:val="004F2C08"/>
    <w:rsid w:val="0050367C"/>
    <w:rsid w:val="00504A56"/>
    <w:rsid w:val="00507AF2"/>
    <w:rsid w:val="00543147"/>
    <w:rsid w:val="00544065"/>
    <w:rsid w:val="00545117"/>
    <w:rsid w:val="0058563C"/>
    <w:rsid w:val="005A53C5"/>
    <w:rsid w:val="005C0A10"/>
    <w:rsid w:val="005D4BA8"/>
    <w:rsid w:val="005E62A5"/>
    <w:rsid w:val="0060081F"/>
    <w:rsid w:val="0060788F"/>
    <w:rsid w:val="00607F6D"/>
    <w:rsid w:val="00634290"/>
    <w:rsid w:val="0068160E"/>
    <w:rsid w:val="00697FDD"/>
    <w:rsid w:val="006A37D8"/>
    <w:rsid w:val="006B3C6C"/>
    <w:rsid w:val="006E35E0"/>
    <w:rsid w:val="006F6BD0"/>
    <w:rsid w:val="00705463"/>
    <w:rsid w:val="0074183C"/>
    <w:rsid w:val="00767527"/>
    <w:rsid w:val="007B0B5A"/>
    <w:rsid w:val="007F03B5"/>
    <w:rsid w:val="0080475E"/>
    <w:rsid w:val="008072B9"/>
    <w:rsid w:val="00841EC5"/>
    <w:rsid w:val="008521B4"/>
    <w:rsid w:val="008656D4"/>
    <w:rsid w:val="00872000"/>
    <w:rsid w:val="00877240"/>
    <w:rsid w:val="00881600"/>
    <w:rsid w:val="009164C8"/>
    <w:rsid w:val="00951713"/>
    <w:rsid w:val="009564F9"/>
    <w:rsid w:val="00962D08"/>
    <w:rsid w:val="0099468E"/>
    <w:rsid w:val="009B3450"/>
    <w:rsid w:val="009C29DF"/>
    <w:rsid w:val="009C6107"/>
    <w:rsid w:val="009F3AF7"/>
    <w:rsid w:val="009F72BC"/>
    <w:rsid w:val="00A0784B"/>
    <w:rsid w:val="00A16F91"/>
    <w:rsid w:val="00A246D1"/>
    <w:rsid w:val="00A43657"/>
    <w:rsid w:val="00A47BC4"/>
    <w:rsid w:val="00A923BE"/>
    <w:rsid w:val="00AA3124"/>
    <w:rsid w:val="00AA4D4B"/>
    <w:rsid w:val="00AF7A6F"/>
    <w:rsid w:val="00B673CE"/>
    <w:rsid w:val="00BA0163"/>
    <w:rsid w:val="00BB3954"/>
    <w:rsid w:val="00BB5AB5"/>
    <w:rsid w:val="00BC6B73"/>
    <w:rsid w:val="00C22BA7"/>
    <w:rsid w:val="00C256BF"/>
    <w:rsid w:val="00C36B40"/>
    <w:rsid w:val="00C40649"/>
    <w:rsid w:val="00C57995"/>
    <w:rsid w:val="00C7710C"/>
    <w:rsid w:val="00D1319A"/>
    <w:rsid w:val="00D7455C"/>
    <w:rsid w:val="00D92AC6"/>
    <w:rsid w:val="00D97A55"/>
    <w:rsid w:val="00DC64E5"/>
    <w:rsid w:val="00DE01D0"/>
    <w:rsid w:val="00E06AA7"/>
    <w:rsid w:val="00E24DAB"/>
    <w:rsid w:val="00E624E2"/>
    <w:rsid w:val="00E645E3"/>
    <w:rsid w:val="00EA206E"/>
    <w:rsid w:val="00EC5F99"/>
    <w:rsid w:val="00EE2805"/>
    <w:rsid w:val="00F15D98"/>
    <w:rsid w:val="00F35EA4"/>
    <w:rsid w:val="00F52BF2"/>
    <w:rsid w:val="00F55282"/>
    <w:rsid w:val="00F95181"/>
    <w:rsid w:val="00FB705B"/>
    <w:rsid w:val="00FC3C7C"/>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491CF"/>
  <w15:chartTrackingRefBased/>
  <w15:docId w15:val="{FA3AFC40-29B9-4B29-ABF4-922A6A45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EA4"/>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9C6107"/>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22</Pages>
  <Words>8638</Words>
  <Characters>49240</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19</cp:revision>
  <dcterms:created xsi:type="dcterms:W3CDTF">2025-12-30T12:10:00Z</dcterms:created>
  <dcterms:modified xsi:type="dcterms:W3CDTF">2025-12-30T12:55:00Z</dcterms:modified>
</cp:coreProperties>
</file>