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E4C" w:rsidRPr="0012794B" w:rsidRDefault="00464E4C" w:rsidP="00464E4C">
      <w:pPr>
        <w:pStyle w:val="Akti"/>
      </w:pPr>
      <w:bookmarkStart w:id="0" w:name="_GoBack"/>
      <w:bookmarkEnd w:id="0"/>
      <w:r w:rsidRPr="0012794B">
        <w:t>L I G J</w:t>
      </w:r>
    </w:p>
    <w:p w:rsidR="00464E4C" w:rsidRPr="0012794B" w:rsidRDefault="00464E4C" w:rsidP="00464E4C">
      <w:pPr>
        <w:pStyle w:val="NumriData"/>
      </w:pPr>
      <w:r w:rsidRPr="0012794B">
        <w:t>Nr.7925, datë 19.4.1995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Titulli"/>
      </w:pPr>
      <w:r w:rsidRPr="0012794B">
        <w:t>PËR NJË NDRYSHIM NË LIGJIN NR.7512, DATË 10.8.1991 “PËR SANKSIONIMIN DHE MBROJTJEN E PRONËS PRIVATE, TË NISMËS SË LIRË, TË VEPRIMTARIVE PRIVATE TË PAVARURA DHE PRIVATIZIMIT”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BazLigjPropozues"/>
      </w:pPr>
      <w:r w:rsidRPr="0012794B">
        <w:t>Në mbështetje të nenit 16 të ligjit nr.7491, datë 29.4.1991 “Për dispozitat kryesore kushtetuese”, me propozimin e Këshillit të Ministrave,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Institucioni"/>
      </w:pPr>
      <w:r w:rsidRPr="0012794B">
        <w:t>KUVENDI POPULLOR</w:t>
      </w:r>
    </w:p>
    <w:p w:rsidR="00464E4C" w:rsidRPr="0012794B" w:rsidRDefault="00464E4C" w:rsidP="00464E4C">
      <w:pPr>
        <w:pStyle w:val="Institucioni"/>
      </w:pPr>
      <w:r w:rsidRPr="0012794B">
        <w:t>I REPUBLIKËS SË SHQIPËRISË</w:t>
      </w:r>
    </w:p>
    <w:p w:rsidR="00464E4C" w:rsidRPr="0012794B" w:rsidRDefault="00464E4C" w:rsidP="00464E4C">
      <w:pPr>
        <w:pStyle w:val="Institucioni"/>
      </w:pPr>
    </w:p>
    <w:p w:rsidR="00464E4C" w:rsidRPr="0012794B" w:rsidRDefault="00464E4C" w:rsidP="00464E4C">
      <w:pPr>
        <w:pStyle w:val="VENDOSI"/>
      </w:pPr>
      <w:r w:rsidRPr="0012794B">
        <w:t>V E N D O S I: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NeniNr"/>
      </w:pPr>
      <w:r w:rsidRPr="0012794B">
        <w:t>Neni 1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Paragrafi"/>
      </w:pPr>
      <w:r w:rsidRPr="0012794B">
        <w:t>Në ligjin nr.7512, datë 10.8.1991, në nenin 23, paragrafi i tretë, në vazhdim të fjalisë “Prona shtetërore që privatizohet të mos ndryshojë destinacionin e vet për 2 vjet” të shtohen fjalët: “... me përjashtim të objekteve të shërbimeve shëndetësore të stomatologjisë, farmacive, për të cilat destinacioni të mos ndryshohet për një periudhë 5-vjeçare”.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NeniNr"/>
      </w:pPr>
      <w:r w:rsidRPr="0012794B">
        <w:t>Neni 2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Paragrafi"/>
      </w:pPr>
      <w:r w:rsidRPr="0012794B">
        <w:t>Ky ligj hyn në fuqi menjëherë.</w:t>
      </w:r>
    </w:p>
    <w:p w:rsidR="00464E4C" w:rsidRPr="0012794B" w:rsidRDefault="00464E4C" w:rsidP="00464E4C">
      <w:pPr>
        <w:pStyle w:val="Paragrafi"/>
      </w:pPr>
    </w:p>
    <w:p w:rsidR="00464E4C" w:rsidRPr="0012794B" w:rsidRDefault="00464E4C" w:rsidP="00464E4C">
      <w:pPr>
        <w:pStyle w:val="Shpallja"/>
      </w:pPr>
      <w:r w:rsidRPr="0012794B">
        <w:t>Shpallur me dekretin nr.1088, datë 2.5.1995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4E4C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D3D5B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67E004-2E74-4BD5-A873-AE9AAA73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