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899" w:rsidRPr="00C02369" w:rsidRDefault="00656899" w:rsidP="00656899">
      <w:pPr>
        <w:pStyle w:val="Akti"/>
      </w:pPr>
      <w:bookmarkStart w:id="0" w:name="_GoBack"/>
      <w:bookmarkEnd w:id="0"/>
      <w:r w:rsidRPr="00C02369">
        <w:t>L I G J</w:t>
      </w:r>
    </w:p>
    <w:p w:rsidR="00656899" w:rsidRPr="00C02369" w:rsidRDefault="00656899" w:rsidP="00656899">
      <w:pPr>
        <w:pStyle w:val="NumriData"/>
      </w:pPr>
      <w:r w:rsidRPr="00C02369">
        <w:t>Nr.8028, datë 14.11.1995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Titulli"/>
      </w:pPr>
      <w:r w:rsidRPr="00C02369">
        <w:t>PËR MIRATIMIN ME NDRYSHIME TË DEKRETIT NR.1255, DATË 19.10.1995</w:t>
      </w:r>
      <w:r>
        <w:t xml:space="preserve"> </w:t>
      </w:r>
      <w:r w:rsidRPr="00C02369">
        <w:t>“PËR DISA NDRYSHIME NË LIGJIN NR.7936, DATË 18.5.1995 “PËR DISA DRYSHIME NË LIGJIN NR.7609, DATË 22.9.1992 “PËR TARIFAT DOGANORE”"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BazLigjPropozues"/>
      </w:pPr>
      <w:r w:rsidRPr="00C02369">
        <w:t xml:space="preserve">Në mbështetje të neneve 16 dhe 28 të ligjit nr.7491, datë 29.4.1991 “Për dispozitat kryesore kushtetuese”, me propozimin e Këshillit të Ministrave, 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Institucioni"/>
      </w:pPr>
      <w:r w:rsidRPr="00C02369">
        <w:t>KUVENDI POPULLOR</w:t>
      </w:r>
    </w:p>
    <w:p w:rsidR="00656899" w:rsidRPr="00C02369" w:rsidRDefault="00656899" w:rsidP="00656899">
      <w:pPr>
        <w:pStyle w:val="Institucioni"/>
      </w:pPr>
      <w:r w:rsidRPr="00C02369">
        <w:t>I REPUBLIKËS SË SHQIPËRISË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VENDOSI"/>
      </w:pPr>
      <w:r w:rsidRPr="00C02369">
        <w:t>V E N D O S I: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NeniNr"/>
      </w:pPr>
      <w:r w:rsidRPr="00C02369">
        <w:t>Neni 1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Paragrafi"/>
      </w:pPr>
      <w:r w:rsidRPr="00C02369">
        <w:t>Miratohet dekreti nr.1255, datë 19.10.1995 “Për disa ndryshime në ligjin nr.7936, datë 18.5.1995 “Për disa ndryshime në ligjin nr.7609, datë 22.9.1992 “Për tarifat doganore”, me ndryshimet si më poshtë:</w:t>
      </w:r>
    </w:p>
    <w:p w:rsidR="00656899" w:rsidRPr="00C02369" w:rsidRDefault="00656899" w:rsidP="00656899">
      <w:pPr>
        <w:pStyle w:val="Paragrafi"/>
      </w:pPr>
      <w:r w:rsidRPr="00C02369">
        <w:t>Paragrafi i dytë i nenit 1 riformulohet:</w:t>
      </w:r>
    </w:p>
    <w:p w:rsidR="00656899" w:rsidRPr="00C02369" w:rsidRDefault="00656899" w:rsidP="00656899">
      <w:pPr>
        <w:pStyle w:val="Paragrafi"/>
      </w:pPr>
      <w:r w:rsidRPr="00C02369">
        <w:t>“Mallrat e përfshira në seksionin 2, kapitulli 10, numri i kreut 10.01 me kod doganor 1001.10 e 1001.90 “Grurë dhe meslin”; numri i kreut 10.05 me kod doganor 1005.10 dhe 1005.90 “Misër” si dhe mallrat e përfshira në seksionin 2, kapitulli 2, numri i kreut 11.01 me kod doganor 1101.00 “Miell gruri dhe miell meslini”; numri i kreut 1102 dhe me kod doganor 1102.20 “Miell misri (si drith)”; përjashtohen nga pagimi i tarifës doganore”.</w:t>
      </w:r>
    </w:p>
    <w:p w:rsidR="00656899" w:rsidRPr="00C02369" w:rsidRDefault="00656899" w:rsidP="00656899">
      <w:pPr>
        <w:pStyle w:val="Paragrafi"/>
      </w:pPr>
      <w:r w:rsidRPr="00C02369">
        <w:t>Në nenin 2, fjalët “... deri në datën 10.6.1996” ndryshohen “... deri në datën 30.6.1996”.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NeniNr"/>
      </w:pPr>
      <w:r w:rsidRPr="00C02369">
        <w:t>Neni 2</w:t>
      </w:r>
    </w:p>
    <w:p w:rsidR="00656899" w:rsidRPr="00C02369" w:rsidRDefault="00656899" w:rsidP="00656899">
      <w:pPr>
        <w:pStyle w:val="Paragrafi"/>
      </w:pPr>
    </w:p>
    <w:p w:rsidR="00656899" w:rsidRPr="00C02369" w:rsidRDefault="00656899" w:rsidP="00656899">
      <w:pPr>
        <w:pStyle w:val="Paragrafi"/>
      </w:pPr>
      <w:r w:rsidRPr="00C02369">
        <w:t>Ky ligj hyn në fuqi 15 ditë pas botimit në Fletoren Zyrtare dhe i shtrin efektet nga data 19.10.1995 deri më 30.6.1996.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0AC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6899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505406-0BB9-4540-88AD-D6001B14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