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CBC" w:rsidRPr="00C02369" w:rsidRDefault="001C6CBC" w:rsidP="001C6CBC">
      <w:pPr>
        <w:pStyle w:val="Akti"/>
      </w:pPr>
      <w:bookmarkStart w:id="0" w:name="_GoBack"/>
      <w:bookmarkEnd w:id="0"/>
      <w:r w:rsidRPr="00C02369">
        <w:t>L I G J</w:t>
      </w:r>
    </w:p>
    <w:p w:rsidR="001C6CBC" w:rsidRPr="00C02369" w:rsidRDefault="001C6CBC" w:rsidP="001C6CBC">
      <w:pPr>
        <w:pStyle w:val="NumriData"/>
      </w:pPr>
      <w:r w:rsidRPr="00C02369">
        <w:t>Nr.8054, datë 30.12.1995</w:t>
      </w:r>
    </w:p>
    <w:p w:rsidR="001C6CBC" w:rsidRPr="00C02369" w:rsidRDefault="001C6CBC" w:rsidP="001C6CBC">
      <w:pPr>
        <w:pStyle w:val="Paragrafi"/>
      </w:pPr>
    </w:p>
    <w:p w:rsidR="001C6CBC" w:rsidRPr="00C02369" w:rsidRDefault="001C6CBC" w:rsidP="001C6CBC">
      <w:pPr>
        <w:pStyle w:val="Titulli"/>
      </w:pPr>
      <w:r w:rsidRPr="00C02369">
        <w:t>PËR BUXHETIN E SHTETIT TË VITIT 1996</w:t>
      </w:r>
    </w:p>
    <w:p w:rsidR="001C6CBC" w:rsidRPr="00C02369" w:rsidRDefault="001C6CBC" w:rsidP="001C6CBC">
      <w:pPr>
        <w:pStyle w:val="Paragrafi"/>
      </w:pPr>
    </w:p>
    <w:p w:rsidR="001C6CBC" w:rsidRPr="00C02369" w:rsidRDefault="001C6CBC" w:rsidP="001C6CBC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1C6CBC" w:rsidRPr="00C02369" w:rsidRDefault="001C6CBC" w:rsidP="001C6CBC">
      <w:pPr>
        <w:pStyle w:val="Paragrafi"/>
      </w:pPr>
    </w:p>
    <w:p w:rsidR="001C6CBC" w:rsidRPr="00C02369" w:rsidRDefault="001C6CBC" w:rsidP="001C6CBC">
      <w:pPr>
        <w:pStyle w:val="Institucioni"/>
      </w:pPr>
      <w:r w:rsidRPr="00C02369">
        <w:t>KUVENDI POPULLOR</w:t>
      </w:r>
    </w:p>
    <w:p w:rsidR="001C6CBC" w:rsidRPr="00C02369" w:rsidRDefault="001C6CBC" w:rsidP="001C6CBC">
      <w:pPr>
        <w:pStyle w:val="Institucioni"/>
      </w:pPr>
      <w:r w:rsidRPr="00C02369">
        <w:t>I REPUBLIKËS SË SHQIPËRISË</w:t>
      </w:r>
    </w:p>
    <w:p w:rsidR="001C6CBC" w:rsidRPr="00C02369" w:rsidRDefault="001C6CBC" w:rsidP="001C6CBC">
      <w:pPr>
        <w:pStyle w:val="Paragrafi"/>
      </w:pPr>
    </w:p>
    <w:p w:rsidR="001C6CBC" w:rsidRPr="00874284" w:rsidRDefault="001C6CBC" w:rsidP="001C6CBC">
      <w:pPr>
        <w:pStyle w:val="VENDOSI"/>
        <w:rPr>
          <w:lang w:val="it-IT"/>
        </w:rPr>
      </w:pPr>
      <w:r w:rsidRPr="00874284">
        <w:rPr>
          <w:lang w:val="it-IT"/>
        </w:rPr>
        <w:t>V E N D O S I: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Miratohet buxheti i shtetit i vitit 1996, paraqitur nga Këshilli i Ministrave, i cili përbëhet nga: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të ardhurat 62 950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shpenzimet 100 227 milionë lekë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2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Miratohet buxheti i sigurimeve shoqërore, si pjesë përbërëse e buxhetit të shtetit, i cili përbëhet nga: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të ardhurat 11 200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shpenzimet  17 691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Administrimi i këtij buxheti i nënshtrohet rregullave të ligjit nr.7703, datë 11.5.1993 “Për sigurimet shoqërore në republikën e Shqipërisë”.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3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Miratohet buxheti i sigurimeve shëndetësore, si pjesë përbërëse e buxhetit të shtetit, i cili përbëhet nga: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të ardhurat 1 100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shpenzimet  1 624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Administrimi i këtij buxheti i nënshtrohet rregullave të ligjit nr.7870, datë 13.10.1994 “Për sigurimet shëndetësore në Republikën e Shqipërisë”.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KreuNr"/>
        <w:rPr>
          <w:lang w:val="it-IT"/>
        </w:rPr>
      </w:pPr>
      <w:r w:rsidRPr="00874284">
        <w:rPr>
          <w:lang w:val="it-IT"/>
        </w:rPr>
        <w:t>KREU I</w:t>
      </w:r>
    </w:p>
    <w:p w:rsidR="001C6CBC" w:rsidRPr="00874284" w:rsidRDefault="001C6CBC" w:rsidP="001C6CBC">
      <w:pPr>
        <w:pStyle w:val="KreuTitull"/>
        <w:rPr>
          <w:lang w:val="it-IT"/>
        </w:rPr>
      </w:pPr>
      <w:r w:rsidRPr="00874284">
        <w:rPr>
          <w:lang w:val="it-IT"/>
        </w:rPr>
        <w:t>BURIMI PËR MBËSHTETJEN E SHPENZIMEVE TË BUXHETIT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4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Të ardhurat buxhetore, pa kufizime në përdorimin e tyre, janë 50 650 milionë lekë. Këto të ardhura sipas grupeve kryesore paraqiten: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të ardhura nga fondi kundërparti    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500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të ardhura tatimore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40 250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të ardhura jotatimore 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9 900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5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Të ardhurat buxhetore me kufizime në përdorimin e tyre në total janë 12 300 milionë lekë. Këto të ardhura specifike janë si më poshtë: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kontributi i sigurimeve shoqërore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11 200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kontributi i sigurimeve shëndetësore 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1 100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lastRenderedPageBreak/>
        <w:t>Neni 6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Burimet për financimin e deficitit të buxhetit janë në total 37 277 milionë lekë, të specifikuara si më poshtë: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kredia e Bankës së Shqipërisë     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5 100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bonot e thesarit      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13 080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kredia e huaj      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19 097 milionë lekë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KreuNr"/>
        <w:rPr>
          <w:lang w:val="it-IT"/>
        </w:rPr>
      </w:pPr>
      <w:r w:rsidRPr="00874284">
        <w:rPr>
          <w:lang w:val="it-IT"/>
        </w:rPr>
        <w:t>KREU II</w:t>
      </w:r>
    </w:p>
    <w:p w:rsidR="001C6CBC" w:rsidRPr="00874284" w:rsidRDefault="001C6CBC" w:rsidP="001C6CBC">
      <w:pPr>
        <w:pStyle w:val="KreuTitull"/>
        <w:rPr>
          <w:lang w:val="it-IT"/>
        </w:rPr>
      </w:pPr>
      <w:r w:rsidRPr="00874284">
        <w:rPr>
          <w:lang w:val="it-IT"/>
        </w:rPr>
        <w:t>SHPENZIMET PËR VITIN 1996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7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Shpenzimet sipas drejtimeve kryesore paraqiten si më poshtë: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Shpenzimet korente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70 387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Shpenzimet kapitale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27 315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Rezervë/Kontigjence 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6 395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Të dhëna të detajuara për çdo minisri dhe institucion qendror paraqiten në pasqyrën nr.1 bashkëngjitur.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8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Në zërin kontigjence përfshihet fondi për rritjen e investimeve, për rritjen e pagave, për ruajtjen e deficitit buxhetor dhe shpenzimet për fushatat elektorale. Ngarkohet Këshilli i Ministrave për përdorimin e këtij fondi.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9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Në zërin shpenzime kapitale përfshihen shpenzimet për investime nga burime të brendshme 9 518 milionë lekë dhe nga burime të huaja 17 797 milion lekë. Lista e përmbledhur e objekteve paraqitet në pasqyrën nr.2.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10</w:t>
      </w:r>
    </w:p>
    <w:p w:rsidR="001C6CBC" w:rsidRPr="00874284" w:rsidRDefault="001C6CBC" w:rsidP="001C6CBC">
      <w:pPr>
        <w:pStyle w:val="NeniNr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Në tabelën nr.1 dhe nr.2 Këshilli i Ministrave ka të drejtë të bëjë ndryshime deri në masën 10 për qind të totalit të fondeve për çdo institucion të paraqitur. Në listën e investimeve ky kufizim përfshin vetëm totalin e financimit të brendshëm për çdo objekt të paraqitur.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KreuNr"/>
        <w:rPr>
          <w:lang w:val="it-IT"/>
        </w:rPr>
      </w:pPr>
      <w:r w:rsidRPr="00874284">
        <w:rPr>
          <w:lang w:val="it-IT"/>
        </w:rPr>
        <w:t>KREU III</w:t>
      </w:r>
    </w:p>
    <w:p w:rsidR="001C6CBC" w:rsidRPr="00874284" w:rsidRDefault="001C6CBC" w:rsidP="001C6CBC">
      <w:pPr>
        <w:pStyle w:val="KreuTitull"/>
        <w:rPr>
          <w:lang w:val="it-IT"/>
        </w:rPr>
      </w:pPr>
      <w:r w:rsidRPr="00874284">
        <w:rPr>
          <w:lang w:val="it-IT"/>
        </w:rPr>
        <w:t>DISPOZITA TË TJERA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11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Nga shuma e arkëtuar e tatimit mbi pasurinë për çdo bashki dhe komunë, 60 për qind e shumës së mësipërme mbetet në dispozicion të organeve të pushtetit lokal në proporcionet e mëposhtme: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- 55 për qind e shumës së arkëtuar nga tatimi mbi pasurinë për çdo bashki e komunë, mbetet në dispozicion të bashkisë e komunës.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- 5 për qind e shumës së arkëtuar nga tatimi mbi pasurinë për çdo bashki e komunë, kalon në dispozicion të këshillit të rrethit.</w:t>
      </w:r>
    </w:p>
    <w:p w:rsidR="001C6CBC" w:rsidRPr="00C02369" w:rsidRDefault="001C6CBC" w:rsidP="001C6CBC">
      <w:pPr>
        <w:pStyle w:val="Paragrafi"/>
      </w:pPr>
      <w:r w:rsidRPr="00C02369">
        <w:t>Pjesa që mbetet pas ndarjes do përdoret:</w:t>
      </w:r>
    </w:p>
    <w:p w:rsidR="001C6CBC" w:rsidRPr="00C02369" w:rsidRDefault="001C6CBC" w:rsidP="001C6CBC">
      <w:pPr>
        <w:pStyle w:val="Paragrafi"/>
      </w:pPr>
      <w:r w:rsidRPr="00C02369">
        <w:t>Në komunë:</w:t>
      </w:r>
    </w:p>
    <w:p w:rsidR="001C6CBC" w:rsidRPr="00C02369" w:rsidRDefault="001C6CBC" w:rsidP="001C6CBC">
      <w:pPr>
        <w:pStyle w:val="Paragrafi"/>
      </w:pPr>
      <w:r w:rsidRPr="00C02369">
        <w:t>- 3 për qind në formë shpërblimi për punonjësit e njësuar si agjentë tatimorë në komuna dhe 52 për qind sipas kritereve që përcaktohen më poshtë për bashkitë.</w:t>
      </w:r>
    </w:p>
    <w:p w:rsidR="001C6CBC" w:rsidRPr="00C02369" w:rsidRDefault="001C6CBC" w:rsidP="001C6CBC">
      <w:pPr>
        <w:pStyle w:val="Paragrafi"/>
      </w:pPr>
      <w:r w:rsidRPr="00C02369">
        <w:t>Në bashki:</w:t>
      </w:r>
    </w:p>
    <w:p w:rsidR="001C6CBC" w:rsidRPr="00C02369" w:rsidRDefault="001C6CBC" w:rsidP="001C6CBC">
      <w:pPr>
        <w:pStyle w:val="Paragrafi"/>
      </w:pPr>
      <w:r w:rsidRPr="00C02369">
        <w:lastRenderedPageBreak/>
        <w:t>- 55 për qind për t’u përdorur sipas këtyre kritereve:</w:t>
      </w:r>
    </w:p>
    <w:p w:rsidR="001C6CBC" w:rsidRPr="00C02369" w:rsidRDefault="001C6CBC" w:rsidP="001C6CBC">
      <w:pPr>
        <w:pStyle w:val="Paragrafi"/>
      </w:pPr>
      <w:r w:rsidRPr="00C02369">
        <w:t>1. Për shpenzime operative deri në 40 për qind të totalit të të ardhurave të realizuara.</w:t>
      </w:r>
    </w:p>
    <w:p w:rsidR="001C6CBC" w:rsidRPr="00C02369" w:rsidRDefault="001C6CBC" w:rsidP="001C6CBC">
      <w:pPr>
        <w:pStyle w:val="Paragrafi"/>
      </w:pPr>
      <w:r w:rsidRPr="00C02369">
        <w:t>2. Për nevoja të infrastrukturës lokale dhe investime të administratës.</w:t>
      </w:r>
    </w:p>
    <w:p w:rsidR="001C6CBC" w:rsidRPr="00C02369" w:rsidRDefault="001C6CBC" w:rsidP="001C6CBC">
      <w:pPr>
        <w:pStyle w:val="Paragrafi"/>
      </w:pPr>
      <w:r w:rsidRPr="00C02369">
        <w:t>3. Për përballimin e të gjitha shpenzimeve të buxhetit të kushtëzuar mbi fondet e parashikuara në këtë ligj.</w:t>
      </w:r>
    </w:p>
    <w:p w:rsidR="001C6CBC" w:rsidRPr="00C02369" w:rsidRDefault="001C6CBC" w:rsidP="001C6CBC">
      <w:pPr>
        <w:pStyle w:val="Paragrafi"/>
      </w:pPr>
      <w:r w:rsidRPr="00C02369">
        <w:t>4. Për përballimin e shpenzimeve për aktivitete që i janë lënë në administrim buxhetit lokal dhe për të cilat nuk parashikohen fonde në buxhetin e kushtëzuar.</w:t>
      </w:r>
    </w:p>
    <w:p w:rsidR="001C6CBC" w:rsidRPr="00C02369" w:rsidRDefault="001C6CBC" w:rsidP="001C6CBC">
      <w:pPr>
        <w:pStyle w:val="Paragrafi"/>
      </w:pPr>
      <w:r w:rsidRPr="00C02369">
        <w:t>Në këshillat e rretheve</w:t>
      </w:r>
    </w:p>
    <w:p w:rsidR="001C6CBC" w:rsidRPr="00C02369" w:rsidRDefault="001C6CBC" w:rsidP="001C6CBC">
      <w:pPr>
        <w:pStyle w:val="Paragrafi"/>
      </w:pPr>
      <w:r w:rsidRPr="00C02369">
        <w:t>- 5 për qind për t’u përdorur: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1. Për shpenzimet për procesin e privatizimit.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2. Për investime në aktivitetet që mbulon këshilli i rrethit.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Ngarkohet Sekretariati i Pushtetit Lokal të paraqesë në Këshillin e Ministrave për miratim udhëzimin për zbatimin e këtyre kritereve.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12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Në tabelën nr.3 paraqiten shpenzimet për pushtetin gjyqësor të ndara për çdo gjykatë rrethi, për Gjykatën e Apelit dhe Gjykatën e Kasacionit.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13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Në këtë buxhet nuk parashikohen shpenzime për likuidimin e ndërmarrjeve në privatizim. Ngarkohet Këshilli i Ministrave të përcaktojë mënyrën e mbulimit të këtyre shpenzimeve nga të ardhurat e privatizimit. Përjashtohet nga ky rregull Agjensia e Ristrukturimit të Ndërmarrjeve.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14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Në pasqyrën nr.1 të paraqitur,nuk janë parashikuar shpenzime operative për Drejtorinë e Doganave dhe Agjensinë Kombëtare të Privatizimit. Këto shpenzime do të përballohen nga të ardhurat që ato sigurojnë brenda këtyre limitive: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Drejtoria e Doganave </w:t>
      </w:r>
      <w:r w:rsidR="0016643A" w:rsidRPr="00874284">
        <w:rPr>
          <w:lang w:val="it-IT"/>
        </w:rPr>
        <w:tab/>
      </w:r>
      <w:r w:rsidRPr="00874284">
        <w:rPr>
          <w:lang w:val="it-IT"/>
        </w:rPr>
        <w:t>30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AKP </w:t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="0016643A" w:rsidRPr="00874284">
        <w:rPr>
          <w:lang w:val="it-IT"/>
        </w:rPr>
        <w:tab/>
      </w:r>
      <w:r w:rsidRPr="00874284">
        <w:rPr>
          <w:lang w:val="it-IT"/>
        </w:rPr>
        <w:t>8 milionë lekë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Pjesa tjetër e të ardhurave përbëhet sipas kritereve të përcaktuara ligjore.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15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Në rast të mosrealizimit të planit të të ardhurave në masën e parashikuar në buxhetin e vitit 1995, shpenzimet do të ulen në të njëjtën masë nga Ministria e Financave.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16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Ngarkohet Ministria e Financave të nxjerrë udhëzime për zbatimin e këtij ligji.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KreuNr"/>
        <w:rPr>
          <w:lang w:val="it-IT"/>
        </w:rPr>
      </w:pPr>
      <w:r w:rsidRPr="00874284">
        <w:rPr>
          <w:lang w:val="it-IT"/>
        </w:rPr>
        <w:t>KREU IV</w:t>
      </w:r>
    </w:p>
    <w:p w:rsidR="001C6CBC" w:rsidRPr="00874284" w:rsidRDefault="001C6CBC" w:rsidP="001C6CBC">
      <w:pPr>
        <w:pStyle w:val="KreuTitull"/>
        <w:rPr>
          <w:lang w:val="it-IT"/>
        </w:rPr>
      </w:pPr>
      <w:r w:rsidRPr="00874284">
        <w:rPr>
          <w:lang w:val="it-IT"/>
        </w:rPr>
        <w:t>BUXHETI FAKTIK 1994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17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Miratohet buxheti faktik për vitin 1994 dhe burimet e tij të financimit si më poshtë: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Në mijë lekë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të ardhurat</w:t>
      </w:r>
      <w:r w:rsidRPr="00874284">
        <w:rPr>
          <w:lang w:val="it-IT"/>
        </w:rPr>
        <w:tab/>
      </w:r>
      <w:r w:rsidRPr="00874284">
        <w:rPr>
          <w:lang w:val="it-IT"/>
        </w:rPr>
        <w:tab/>
      </w:r>
      <w:r w:rsidRPr="00874284">
        <w:rPr>
          <w:lang w:val="it-IT"/>
        </w:rPr>
        <w:tab/>
      </w:r>
      <w:r w:rsidRPr="00874284">
        <w:rPr>
          <w:lang w:val="it-IT"/>
        </w:rPr>
        <w:tab/>
        <w:t>40 426 223.30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- shpenzimet</w:t>
      </w:r>
      <w:r w:rsidRPr="00874284">
        <w:rPr>
          <w:lang w:val="it-IT"/>
        </w:rPr>
        <w:tab/>
      </w:r>
      <w:r w:rsidRPr="00874284">
        <w:rPr>
          <w:lang w:val="it-IT"/>
        </w:rPr>
        <w:tab/>
      </w:r>
      <w:r w:rsidRPr="00874284">
        <w:rPr>
          <w:lang w:val="it-IT"/>
        </w:rPr>
        <w:tab/>
      </w:r>
      <w:r w:rsidRPr="00874284">
        <w:rPr>
          <w:lang w:val="it-IT"/>
        </w:rPr>
        <w:tab/>
        <w:t>54 163 930.30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lastRenderedPageBreak/>
        <w:t>- deficiti</w:t>
      </w:r>
      <w:r w:rsidRPr="00874284">
        <w:rPr>
          <w:lang w:val="it-IT"/>
        </w:rPr>
        <w:tab/>
      </w:r>
      <w:r w:rsidRPr="00874284">
        <w:rPr>
          <w:lang w:val="it-IT"/>
        </w:rPr>
        <w:tab/>
      </w:r>
      <w:r w:rsidRPr="00874284">
        <w:rPr>
          <w:lang w:val="it-IT"/>
        </w:rPr>
        <w:tab/>
      </w:r>
      <w:r w:rsidRPr="00874284">
        <w:rPr>
          <w:lang w:val="it-IT"/>
        </w:rPr>
        <w:tab/>
        <w:t>13 737 707.00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Financuar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kredia e brendshme bankar  </w:t>
      </w:r>
      <w:r w:rsidRPr="00874284">
        <w:rPr>
          <w:lang w:val="it-IT"/>
        </w:rPr>
        <w:tab/>
      </w:r>
      <w:r w:rsidRPr="00874284">
        <w:rPr>
          <w:lang w:val="it-IT"/>
        </w:rPr>
        <w:tab/>
        <w:t>12 121 761.70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bono thesari        </w:t>
      </w:r>
      <w:r w:rsidRPr="00874284">
        <w:rPr>
          <w:lang w:val="it-IT"/>
        </w:rPr>
        <w:tab/>
      </w:r>
      <w:r w:rsidRPr="00874284">
        <w:rPr>
          <w:lang w:val="it-IT"/>
        </w:rPr>
        <w:tab/>
      </w:r>
      <w:r w:rsidRPr="00874284">
        <w:rPr>
          <w:lang w:val="it-IT"/>
        </w:rPr>
        <w:tab/>
        <w:t>923 450.90</w:t>
      </w: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 xml:space="preserve">- Kredi e huaj    </w:t>
      </w:r>
      <w:r w:rsidRPr="00874284">
        <w:rPr>
          <w:lang w:val="it-IT"/>
        </w:rPr>
        <w:tab/>
      </w:r>
      <w:r w:rsidRPr="00874284">
        <w:rPr>
          <w:lang w:val="it-IT"/>
        </w:rPr>
        <w:tab/>
      </w:r>
      <w:r w:rsidRPr="00874284">
        <w:rPr>
          <w:lang w:val="it-IT"/>
        </w:rPr>
        <w:tab/>
        <w:t>692 494.40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KreuNr"/>
        <w:rPr>
          <w:lang w:val="it-IT"/>
        </w:rPr>
      </w:pPr>
      <w:r w:rsidRPr="00874284">
        <w:rPr>
          <w:lang w:val="it-IT"/>
        </w:rPr>
        <w:t>KREU V</w:t>
      </w:r>
    </w:p>
    <w:p w:rsidR="001C6CBC" w:rsidRPr="00874284" w:rsidRDefault="001C6CBC" w:rsidP="001C6CBC">
      <w:pPr>
        <w:pStyle w:val="KreuTitull"/>
        <w:rPr>
          <w:lang w:val="it-IT"/>
        </w:rPr>
      </w:pPr>
      <w:r w:rsidRPr="00874284">
        <w:rPr>
          <w:lang w:val="it-IT"/>
        </w:rPr>
        <w:t>DISPOZITA TË FUNDIT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18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Çdo akt ligjor dhe nënligjor që bie në kundërshtim me këtë ligj shfuqizohet.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NeniNr"/>
        <w:rPr>
          <w:lang w:val="it-IT"/>
        </w:rPr>
      </w:pPr>
      <w:r w:rsidRPr="00874284">
        <w:rPr>
          <w:lang w:val="it-IT"/>
        </w:rPr>
        <w:t>Neni 19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874284" w:rsidRDefault="001C6CBC" w:rsidP="001C6CBC">
      <w:pPr>
        <w:pStyle w:val="Paragrafi"/>
        <w:rPr>
          <w:lang w:val="it-IT"/>
        </w:rPr>
      </w:pPr>
      <w:r w:rsidRPr="00874284">
        <w:rPr>
          <w:lang w:val="it-IT"/>
        </w:rPr>
        <w:t>Ky ligj hyn në fuqi më 1 janar 1996.</w:t>
      </w:r>
    </w:p>
    <w:p w:rsidR="001C6CBC" w:rsidRPr="00874284" w:rsidRDefault="001C6CBC" w:rsidP="001C6CBC">
      <w:pPr>
        <w:pStyle w:val="Paragrafi"/>
        <w:rPr>
          <w:lang w:val="it-IT"/>
        </w:rPr>
      </w:pPr>
    </w:p>
    <w:p w:rsidR="001C6CBC" w:rsidRPr="00C02369" w:rsidRDefault="001C6CBC" w:rsidP="001C6CBC">
      <w:pPr>
        <w:pStyle w:val="Shpallja"/>
      </w:pPr>
      <w:r w:rsidRPr="00C02369">
        <w:t>Shpallur me dekretin nr.1348, datë 8.1.1996 të Presidentit të Republikës së Shqipërisë, Sali Berisha</w:t>
      </w:r>
    </w:p>
    <w:p w:rsidR="00A0784B" w:rsidRDefault="00553894" w:rsidP="00874284">
      <w:pPr>
        <w:pStyle w:val="Figure"/>
      </w:pPr>
      <w:r w:rsidRPr="00254325">
        <w:rPr>
          <w:noProof/>
        </w:rPr>
        <w:lastRenderedPageBreak/>
        <w:drawing>
          <wp:inline distT="0" distB="0" distL="0" distR="0">
            <wp:extent cx="5753100" cy="7505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 w:rsidRPr="00254325">
        <w:rPr>
          <w:noProof/>
        </w:rPr>
        <w:drawing>
          <wp:inline distT="0" distB="0" distL="0" distR="0">
            <wp:extent cx="5762625" cy="76295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 w:rsidRPr="00254325">
        <w:rPr>
          <w:noProof/>
        </w:rPr>
        <w:drawing>
          <wp:inline distT="0" distB="0" distL="0" distR="0">
            <wp:extent cx="5753100" cy="4210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3997960" cy="5752465"/>
            <wp:effectExtent l="0" t="0" r="2540" b="635"/>
            <wp:docPr id="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6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4146550" cy="5762625"/>
            <wp:effectExtent l="0" t="0" r="6350" b="9525"/>
            <wp:docPr id="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3923665" cy="5752465"/>
            <wp:effectExtent l="0" t="0" r="635" b="635"/>
            <wp:docPr id="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66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4263390" cy="5752465"/>
            <wp:effectExtent l="0" t="0" r="3810" b="635"/>
            <wp:docPr id="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4146550" cy="5752465"/>
            <wp:effectExtent l="0" t="0" r="635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4189095" cy="5752465"/>
            <wp:effectExtent l="0" t="0" r="190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09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4146550" cy="5752465"/>
            <wp:effectExtent l="0" t="0" r="635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3870325" cy="57524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32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3933825" cy="5752465"/>
            <wp:effectExtent l="0" t="0" r="9525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4083050" cy="5752465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4157345" cy="5752465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 w:rsidRPr="00254325">
        <w:rPr>
          <w:noProof/>
        </w:rPr>
        <w:drawing>
          <wp:inline distT="0" distB="0" distL="0" distR="0">
            <wp:extent cx="5553075" cy="73914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 w:rsidRPr="00254325">
        <w:rPr>
          <w:noProof/>
        </w:rPr>
        <w:drawing>
          <wp:inline distT="0" distB="0" distL="0" distR="0">
            <wp:extent cx="5753100" cy="16287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3636645" cy="5752465"/>
            <wp:effectExtent l="0" t="0" r="190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64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3678555" cy="5752465"/>
            <wp:effectExtent l="0" t="0" r="0" b="635"/>
            <wp:docPr id="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55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 w:rsidRPr="00254325">
        <w:rPr>
          <w:noProof/>
        </w:rPr>
        <w:drawing>
          <wp:inline distT="0" distB="0" distL="0" distR="0">
            <wp:extent cx="5753100" cy="36195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4125595" cy="5752465"/>
            <wp:effectExtent l="0" t="0" r="8255" b="635"/>
            <wp:docPr id="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1605280" cy="52578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874284">
      <w:pPr>
        <w:pStyle w:val="Figure"/>
      </w:pPr>
      <w:r>
        <w:rPr>
          <w:noProof/>
        </w:rPr>
        <w:drawing>
          <wp:inline distT="0" distB="0" distL="0" distR="0">
            <wp:extent cx="3806190" cy="5752465"/>
            <wp:effectExtent l="0" t="0" r="381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874284" w:rsidP="0014029D">
      <w:pPr>
        <w:pStyle w:val="Paragrafi"/>
      </w:pPr>
    </w:p>
    <w:p w:rsidR="00874284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487420" cy="5762625"/>
            <wp:effectExtent l="0" t="0" r="0" b="9525"/>
            <wp:docPr id="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42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4008755" cy="575246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75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604260" cy="575246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509010" cy="5752465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01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625850" cy="5752465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731895" cy="5752465"/>
            <wp:effectExtent l="0" t="0" r="1905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89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604260" cy="5752465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594100" cy="5752465"/>
            <wp:effectExtent l="0" t="0" r="635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572510" cy="5752465"/>
            <wp:effectExtent l="0" t="0" r="889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51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561715" cy="5752465"/>
            <wp:effectExtent l="0" t="0" r="635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3466465" cy="5762625"/>
            <wp:effectExtent l="0" t="0" r="63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>
        <w:rPr>
          <w:noProof/>
        </w:rPr>
        <w:drawing>
          <wp:inline distT="0" distB="0" distL="0" distR="0">
            <wp:extent cx="1456690" cy="57626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 w:rsidRPr="00254325">
        <w:rPr>
          <w:noProof/>
        </w:rPr>
        <w:drawing>
          <wp:inline distT="0" distB="0" distL="0" distR="0">
            <wp:extent cx="5753100" cy="73818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 w:rsidRPr="00254325">
        <w:rPr>
          <w:noProof/>
        </w:rPr>
        <w:drawing>
          <wp:inline distT="0" distB="0" distL="0" distR="0">
            <wp:extent cx="5753100" cy="84486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553894" w:rsidP="00A649E1">
      <w:pPr>
        <w:pStyle w:val="Figure"/>
      </w:pPr>
      <w:r w:rsidRPr="00254325">
        <w:rPr>
          <w:noProof/>
        </w:rPr>
        <w:drawing>
          <wp:inline distT="0" distB="0" distL="0" distR="0">
            <wp:extent cx="5762625" cy="821055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 w:rsidRPr="00254325">
        <w:rPr>
          <w:noProof/>
        </w:rPr>
        <w:drawing>
          <wp:inline distT="0" distB="0" distL="0" distR="0">
            <wp:extent cx="5753100" cy="84391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 w:rsidRPr="00254325">
        <w:rPr>
          <w:noProof/>
        </w:rPr>
        <w:drawing>
          <wp:inline distT="0" distB="0" distL="0" distR="0">
            <wp:extent cx="5753100" cy="78771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553894" w:rsidP="00A649E1">
      <w:pPr>
        <w:pStyle w:val="Figure"/>
      </w:pPr>
      <w:r w:rsidRPr="00254325">
        <w:rPr>
          <w:noProof/>
        </w:rPr>
        <w:drawing>
          <wp:inline distT="0" distB="0" distL="0" distR="0">
            <wp:extent cx="5753100" cy="77533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 w:rsidRPr="00254325">
        <w:rPr>
          <w:noProof/>
        </w:rPr>
        <w:drawing>
          <wp:inline distT="0" distB="0" distL="0" distR="0">
            <wp:extent cx="5753100" cy="812482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553894" w:rsidP="00A649E1">
      <w:pPr>
        <w:pStyle w:val="Figure"/>
      </w:pPr>
      <w:r w:rsidRPr="00254325">
        <w:rPr>
          <w:noProof/>
        </w:rPr>
        <w:drawing>
          <wp:inline distT="0" distB="0" distL="0" distR="0">
            <wp:extent cx="5762625" cy="814387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A649E1" w:rsidRDefault="00A649E1" w:rsidP="0014029D">
      <w:pPr>
        <w:pStyle w:val="Paragrafi"/>
      </w:pPr>
    </w:p>
    <w:p w:rsidR="002D4A43" w:rsidRDefault="002D4A43" w:rsidP="0014029D">
      <w:pPr>
        <w:pStyle w:val="Paragrafi"/>
      </w:pPr>
    </w:p>
    <w:p w:rsidR="002D4A43" w:rsidRDefault="002D4A43" w:rsidP="0014029D">
      <w:pPr>
        <w:pStyle w:val="Paragrafi"/>
      </w:pPr>
    </w:p>
    <w:p w:rsidR="00A649E1" w:rsidRDefault="00553894" w:rsidP="0014029D">
      <w:pPr>
        <w:pStyle w:val="Paragrafi"/>
      </w:pPr>
      <w:r w:rsidRPr="00254325">
        <w:rPr>
          <w:noProof/>
        </w:rPr>
        <w:drawing>
          <wp:inline distT="0" distB="0" distL="0" distR="0">
            <wp:extent cx="5753100" cy="72771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A43" w:rsidRDefault="002D4A43" w:rsidP="0014029D">
      <w:pPr>
        <w:pStyle w:val="Paragrafi"/>
      </w:pPr>
    </w:p>
    <w:p w:rsidR="002D4A43" w:rsidRDefault="002D4A43" w:rsidP="0014029D">
      <w:pPr>
        <w:pStyle w:val="Paragrafi"/>
      </w:pPr>
    </w:p>
    <w:p w:rsidR="002D4A43" w:rsidRDefault="002D4A43" w:rsidP="0014029D">
      <w:pPr>
        <w:pStyle w:val="Paragrafi"/>
      </w:pPr>
    </w:p>
    <w:p w:rsidR="002D4A43" w:rsidRDefault="002D4A43" w:rsidP="0014029D">
      <w:pPr>
        <w:pStyle w:val="Paragrafi"/>
      </w:pPr>
    </w:p>
    <w:p w:rsidR="002D4A43" w:rsidRDefault="002D4A43" w:rsidP="0014029D">
      <w:pPr>
        <w:pStyle w:val="Paragrafi"/>
      </w:pPr>
    </w:p>
    <w:p w:rsidR="002D4A43" w:rsidRDefault="002D4A43" w:rsidP="0014029D">
      <w:pPr>
        <w:pStyle w:val="Paragrafi"/>
      </w:pPr>
    </w:p>
    <w:p w:rsidR="00CF710D" w:rsidRPr="00254325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7630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A43" w:rsidRDefault="00553894" w:rsidP="00CF710D">
      <w:pPr>
        <w:pStyle w:val="Figure"/>
      </w:pPr>
      <w:r>
        <w:rPr>
          <w:noProof/>
        </w:rPr>
        <w:drawing>
          <wp:inline distT="0" distB="0" distL="0" distR="0">
            <wp:extent cx="5753100" cy="68484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2D4A43" w:rsidRDefault="002D4A43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3439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652462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2677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713422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35342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74485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13435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74961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0962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62625" cy="8077200"/>
            <wp:effectExtent l="0" t="0" r="95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20102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14029D">
      <w:pPr>
        <w:pStyle w:val="Paragrafi"/>
      </w:pPr>
      <w:r w:rsidRPr="00254325">
        <w:rPr>
          <w:noProof/>
        </w:rPr>
        <w:drawing>
          <wp:inline distT="0" distB="0" distL="0" distR="0">
            <wp:extent cx="5762625" cy="8391525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0295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2962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782002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53100" cy="82677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CF710D" w:rsidP="0014029D">
      <w:pPr>
        <w:pStyle w:val="Paragrafi"/>
      </w:pPr>
    </w:p>
    <w:p w:rsidR="00CF710D" w:rsidRDefault="00553894" w:rsidP="00CF710D">
      <w:pPr>
        <w:pStyle w:val="Figure"/>
      </w:pPr>
      <w:r w:rsidRPr="00254325">
        <w:rPr>
          <w:noProof/>
        </w:rPr>
        <w:drawing>
          <wp:inline distT="0" distB="0" distL="0" distR="0">
            <wp:extent cx="5762625" cy="793432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10D" w:rsidRDefault="00CF710D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53100" cy="839152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53100" cy="76104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53100" cy="854392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53100" cy="77533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53100" cy="816292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53100" cy="79057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62625" cy="8001000"/>
            <wp:effectExtent l="0" t="0" r="952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62625" cy="7905750"/>
            <wp:effectExtent l="0" t="0" r="952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9F390E">
      <w:pPr>
        <w:pStyle w:val="Figure"/>
      </w:pPr>
      <w:r w:rsidRPr="00254325">
        <w:rPr>
          <w:noProof/>
        </w:rPr>
        <w:drawing>
          <wp:inline distT="0" distB="0" distL="0" distR="0">
            <wp:extent cx="5753100" cy="82486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90E" w:rsidRDefault="009F390E" w:rsidP="0014029D">
      <w:pPr>
        <w:pStyle w:val="Paragrafi"/>
      </w:pPr>
    </w:p>
    <w:p w:rsidR="009F390E" w:rsidRDefault="009F390E" w:rsidP="0014029D">
      <w:pPr>
        <w:pStyle w:val="Paragrafi"/>
      </w:pPr>
    </w:p>
    <w:p w:rsidR="009F390E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7810500"/>
            <wp:effectExtent l="0" t="0" r="952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82296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7924800"/>
            <wp:effectExtent l="0" t="0" r="952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610475"/>
            <wp:effectExtent l="0" t="0" r="0" b="952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81915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7658100"/>
            <wp:effectExtent l="0" t="0" r="952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7867650"/>
            <wp:effectExtent l="0" t="0" r="952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591425"/>
            <wp:effectExtent l="0" t="0" r="0" b="952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8676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286625"/>
            <wp:effectExtent l="0" t="0" r="0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51435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401955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86765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5895975"/>
            <wp:effectExtent l="0" t="0" r="0" b="952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3095625"/>
            <wp:effectExtent l="0" t="0" r="9525" b="952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7724775"/>
            <wp:effectExtent l="0" t="0" r="9525" b="952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805815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44855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80772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7296150"/>
            <wp:effectExtent l="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8029575"/>
            <wp:effectExtent l="0" t="0" r="0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2390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972425"/>
            <wp:effectExtent l="0" t="0" r="0" b="952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7305675"/>
            <wp:effectExtent l="0" t="0" r="9525" b="952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800975"/>
            <wp:effectExtent l="0" t="0" r="0" b="952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7219950"/>
            <wp:effectExtent l="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915275"/>
            <wp:effectExtent l="0" t="0" r="0" b="952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229475"/>
            <wp:effectExtent l="0" t="0" r="0" b="952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9629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743825"/>
            <wp:effectExtent l="0" t="0" r="0" b="952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62625" cy="8010525"/>
            <wp:effectExtent l="0" t="0" r="9525" b="952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29615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972425"/>
            <wp:effectExtent l="0" t="0" r="0" b="952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191375"/>
            <wp:effectExtent l="0" t="0" r="0" b="952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Pr="00254325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8258175"/>
            <wp:effectExtent l="0" t="0" r="0" b="952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>
        <w:rPr>
          <w:noProof/>
        </w:rPr>
        <w:drawing>
          <wp:inline distT="0" distB="0" distL="0" distR="0">
            <wp:extent cx="5753100" cy="7572375"/>
            <wp:effectExtent l="0" t="0" r="0" b="952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80010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775335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257739" w:rsidP="0014029D">
      <w:pPr>
        <w:pStyle w:val="Paragrafi"/>
      </w:pPr>
    </w:p>
    <w:p w:rsidR="00257739" w:rsidRDefault="00553894" w:rsidP="00257739">
      <w:pPr>
        <w:pStyle w:val="Figure"/>
      </w:pPr>
      <w:r w:rsidRPr="00254325">
        <w:rPr>
          <w:noProof/>
        </w:rPr>
        <w:drawing>
          <wp:inline distT="0" distB="0" distL="0" distR="0">
            <wp:extent cx="5753100" cy="8353425"/>
            <wp:effectExtent l="0" t="0" r="0" b="952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Default="00257739" w:rsidP="0014029D">
      <w:pPr>
        <w:pStyle w:val="Paragrafi"/>
      </w:pPr>
    </w:p>
    <w:p w:rsidR="00257739" w:rsidRDefault="00553894" w:rsidP="000B03CB">
      <w:pPr>
        <w:pStyle w:val="Figure"/>
      </w:pPr>
      <w:r w:rsidRPr="00254325">
        <w:rPr>
          <w:noProof/>
        </w:rPr>
        <w:drawing>
          <wp:inline distT="0" distB="0" distL="0" distR="0">
            <wp:extent cx="5753100" cy="1838325"/>
            <wp:effectExtent l="0" t="0" r="0" b="952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39" w:rsidRPr="00257739" w:rsidRDefault="00257739" w:rsidP="00257739">
      <w:pPr>
        <w:rPr>
          <w:lang w:val="en-US"/>
        </w:rPr>
      </w:pPr>
    </w:p>
    <w:sectPr w:rsidR="00257739" w:rsidRPr="0025773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03CB"/>
    <w:rsid w:val="000B29AB"/>
    <w:rsid w:val="00116978"/>
    <w:rsid w:val="00134ADF"/>
    <w:rsid w:val="0014029D"/>
    <w:rsid w:val="0016643A"/>
    <w:rsid w:val="00187855"/>
    <w:rsid w:val="001A58B2"/>
    <w:rsid w:val="001C6CBC"/>
    <w:rsid w:val="001C7978"/>
    <w:rsid w:val="001D7C94"/>
    <w:rsid w:val="001E3F0B"/>
    <w:rsid w:val="0022170D"/>
    <w:rsid w:val="00257739"/>
    <w:rsid w:val="002C6BAB"/>
    <w:rsid w:val="002D303F"/>
    <w:rsid w:val="002D4A4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3894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4284"/>
    <w:rsid w:val="00877240"/>
    <w:rsid w:val="00881600"/>
    <w:rsid w:val="009164C8"/>
    <w:rsid w:val="009564F9"/>
    <w:rsid w:val="0099468E"/>
    <w:rsid w:val="009C29DF"/>
    <w:rsid w:val="009F390E"/>
    <w:rsid w:val="009F72BC"/>
    <w:rsid w:val="00A0784B"/>
    <w:rsid w:val="00A16F91"/>
    <w:rsid w:val="00A246D1"/>
    <w:rsid w:val="00A43657"/>
    <w:rsid w:val="00A47BC4"/>
    <w:rsid w:val="00A649E1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710D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97E02E-6CB1-4511-9364-B34967315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link w:val="KreuTitull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KreuTitullChar">
    <w:name w:val="Kreu_Titull Char"/>
    <w:basedOn w:val="DefaultParagraphFont"/>
    <w:link w:val="KreuTitull"/>
    <w:rsid w:val="001C6CBC"/>
    <w:rPr>
      <w:rFonts w:ascii="CG Times" w:hAnsi="CG Times"/>
      <w:caps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fontTable" Target="fontTable.xml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2019-03-27T09:04:00Z</dcterms:created>
  <dcterms:modified xsi:type="dcterms:W3CDTF">2019-03-27T09:04:00Z</dcterms:modified>
</cp:coreProperties>
</file>