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79" w:rsidRPr="00597D43" w:rsidRDefault="00127A79" w:rsidP="00127A79">
      <w:pPr>
        <w:pStyle w:val="Akti"/>
      </w:pPr>
      <w:bookmarkStart w:id="0" w:name="_GoBack"/>
      <w:bookmarkEnd w:id="0"/>
      <w:r w:rsidRPr="00597D43">
        <w:t>L I G J</w:t>
      </w:r>
    </w:p>
    <w:p w:rsidR="00127A79" w:rsidRPr="00597D43" w:rsidRDefault="00127A79" w:rsidP="00127A79">
      <w:pPr>
        <w:pStyle w:val="NumriData"/>
      </w:pPr>
      <w:r w:rsidRPr="00597D43">
        <w:t>Nr.8115, datë 29.3.1996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Titulli"/>
      </w:pPr>
      <w:r w:rsidRPr="00597D43">
        <w:t>PËR NJË PËRJASHTIM NGA RREGULLAT E PARASHIKUARA NË TRASHËGIMINË LIGJORE SIPAS KODIT CIVIL TË MIRATUAR ME LIGJIN NR.6340, DATË 26.6.1981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BazLigjPropozues"/>
      </w:pPr>
      <w:r w:rsidRPr="00597D43">
        <w:t>Në mbështetje të neneve 16 dhe 23 të ligjit nr.7491, datë 29.4.1991 “Për dispozitat kryesore kushtetuese”, me propozimin e një grupi deputetësh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Institucioni"/>
      </w:pPr>
      <w:r w:rsidRPr="00597D43">
        <w:t>KUVENDI POPULLOR</w:t>
      </w:r>
    </w:p>
    <w:p w:rsidR="00127A79" w:rsidRPr="00597D43" w:rsidRDefault="00127A79" w:rsidP="00127A79">
      <w:pPr>
        <w:pStyle w:val="Institucioni"/>
      </w:pPr>
      <w:r w:rsidRPr="00597D43">
        <w:t>I REPUBLIKËS SË SHQIPËRISË</w:t>
      </w:r>
    </w:p>
    <w:p w:rsidR="00127A79" w:rsidRPr="00597D43" w:rsidRDefault="00127A79" w:rsidP="00127A79">
      <w:pPr>
        <w:pStyle w:val="Institucioni"/>
      </w:pPr>
    </w:p>
    <w:p w:rsidR="00127A79" w:rsidRPr="00597D43" w:rsidRDefault="00127A79" w:rsidP="00127A79">
      <w:pPr>
        <w:pStyle w:val="VENDOSI"/>
      </w:pPr>
      <w:r w:rsidRPr="00597D43">
        <w:t>V E N D O S I: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NeniNr"/>
      </w:pPr>
      <w:r w:rsidRPr="00597D43">
        <w:t>Neni 1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Paragrafi"/>
      </w:pPr>
      <w:r w:rsidRPr="00597D43">
        <w:t>Në përjashtim nga rregullat e parashikuara në nenet 104, 105, 106 e 107 të Kodit Civil të miratuar me ligjin nr.6340, datë 26.6.1981, për pasuritë që kthehen nga zbatimi i ligjit nr.7698, datë 15.4.1993 “Për kthimin dhe kompensimin e pronave ish-pronarëve”, kur bashkëshorti pasjetues nuk konkurron me trashëgimtarë të tjerë të radhës së parë, në trashëgim thirren edhe vëllezërit e motrat e trashëgimlënësit ose trashëgimtarët e tjerë të tyre që thirren me përfaqësim. Në këtë rast, bashkëshorti pasjetues merr 1/2 e trashëgimit”.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NeniNr"/>
      </w:pPr>
      <w:r w:rsidRPr="00597D43">
        <w:t>Neni 2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Paragrafi"/>
      </w:pPr>
      <w:r w:rsidRPr="00597D43">
        <w:t>Ky ligj hyn në fuqi menjëherë dhe i shtrin efektet e tij qysh nga data 16.5.1993 që është ajo e hyrjes në fuqi të ligjit nr.7698, datë 15.4.1993.</w:t>
      </w:r>
    </w:p>
    <w:p w:rsidR="00127A79" w:rsidRPr="00597D43" w:rsidRDefault="00127A79" w:rsidP="00127A79">
      <w:pPr>
        <w:pStyle w:val="Paragrafi"/>
      </w:pPr>
    </w:p>
    <w:p w:rsidR="00127A79" w:rsidRPr="00597D43" w:rsidRDefault="00127A79" w:rsidP="00127A79">
      <w:pPr>
        <w:pStyle w:val="Shpallja"/>
      </w:pPr>
      <w:r w:rsidRPr="00597D43">
        <w:t>Shpallur me dekretin nr.1473, datë 18.4.1996 të Presidentit të Republikës së Shqipërisë, Sali Berisha</w:t>
      </w:r>
    </w:p>
    <w:p w:rsidR="00127A79" w:rsidRDefault="00127A79" w:rsidP="00127A79">
      <w:pPr>
        <w:pStyle w:val="Paragrafi"/>
      </w:pPr>
    </w:p>
    <w:p w:rsidR="00127A79" w:rsidRDefault="00127A79" w:rsidP="00127A7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7A79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90D74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53556A-1C8D-4DE6-A8A2-6E2273A1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