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916" w:rsidRPr="00CB260E" w:rsidRDefault="00227916" w:rsidP="00227916">
      <w:pPr>
        <w:pStyle w:val="Akti"/>
      </w:pPr>
      <w:bookmarkStart w:id="0" w:name="_GoBack"/>
      <w:bookmarkEnd w:id="0"/>
      <w:r w:rsidRPr="00CB260E">
        <w:t>L I G J</w:t>
      </w:r>
    </w:p>
    <w:p w:rsidR="00227916" w:rsidRPr="00CB260E" w:rsidRDefault="00227916" w:rsidP="00227916">
      <w:pPr>
        <w:pStyle w:val="NumriData"/>
      </w:pPr>
      <w:r w:rsidRPr="00CB260E">
        <w:t>Nr.8147, datë 11.9.1996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Titulli"/>
      </w:pPr>
      <w:r w:rsidRPr="00CB260E">
        <w:t>PËR DISA NDRYSHIME NË LIGJIN NR.7758, DATË 12.10.1993 “PËR DOKUMENTIMIN DHE MBAJTJEN E LLOGARIVE PËR TATIMET” NDRYSHUAR ME LIGJIN NR.7900, DATË 8.2.1995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BazLigjPropozues"/>
      </w:pPr>
      <w:r w:rsidRPr="00CB260E">
        <w:t>Në mbështetje të nenit 16 të ligjit nr.7491, datë 29.4.1991 “Për dispozitat kryesore kushtetuese”, me propozimin e Këshillit të Ministrave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Institucioni"/>
      </w:pPr>
      <w:r w:rsidRPr="00CB260E">
        <w:t xml:space="preserve">KUVENDI POPULLOR </w:t>
      </w:r>
    </w:p>
    <w:p w:rsidR="00227916" w:rsidRPr="00CB260E" w:rsidRDefault="00227916" w:rsidP="00227916">
      <w:pPr>
        <w:pStyle w:val="Institucioni"/>
      </w:pPr>
      <w:r w:rsidRPr="00CB260E">
        <w:t>I REPUBLIKËS SË SHQIPËRISË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VENDOSI"/>
      </w:pPr>
      <w:r w:rsidRPr="00CB260E">
        <w:t>V E N D O S I: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NeniNr"/>
      </w:pPr>
      <w:r w:rsidRPr="00CB260E">
        <w:t>Neni 1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Paragrafi"/>
      </w:pPr>
      <w:r w:rsidRPr="00CB260E">
        <w:t>Në ligjin nr.7900, datë 8.2.1995, neni 5, pika “a” dhe “b” ndryshohen si vijon:</w:t>
      </w:r>
    </w:p>
    <w:p w:rsidR="00227916" w:rsidRPr="00CB260E" w:rsidRDefault="00227916" w:rsidP="00227916">
      <w:pPr>
        <w:pStyle w:val="Paragrafi"/>
      </w:pPr>
      <w:r w:rsidRPr="00CB260E">
        <w:t>“a) Kur në rrethet që kanë filluar vendosjen e arkave regjistruese, subjektet që janë të detyruara nuk vendosin në lokalet ose njësitë e tyre arkat regjistruese, dënohen me gjobë si më poshtë:</w:t>
      </w:r>
    </w:p>
    <w:p w:rsidR="00227916" w:rsidRPr="00CB260E" w:rsidRDefault="00227916" w:rsidP="00227916">
      <w:pPr>
        <w:pStyle w:val="Paragrafi"/>
      </w:pPr>
      <w:r w:rsidRPr="00CB260E">
        <w:t>- Subjektet e regjistruara në tatimin e vlerës së shtuar, me tridhjetë mijë lekë.</w:t>
      </w:r>
    </w:p>
    <w:p w:rsidR="00227916" w:rsidRPr="00CB260E" w:rsidRDefault="00227916" w:rsidP="00227916">
      <w:pPr>
        <w:pStyle w:val="Paragrafi"/>
      </w:pPr>
      <w:r w:rsidRPr="00CB260E">
        <w:t>- Subjektet e tjera që nuk janë të regjistruara në tatimin e vlerës së shtuar, me pesëmbëdhjetë mijë lekë.</w:t>
      </w:r>
    </w:p>
    <w:p w:rsidR="00227916" w:rsidRPr="00CB260E" w:rsidRDefault="00227916" w:rsidP="00227916">
      <w:pPr>
        <w:pStyle w:val="Paragrafi"/>
      </w:pPr>
      <w:r w:rsidRPr="00CB260E">
        <w:t>Kur edhe pas dënimit me gjobë subjektet nuk vendosin në lokalet ose njësitë e tyre arkat regjistruese, organi tatimor vendos pezullimin e certifikatës për ushtrimin e veprimtarisë në lokalet ose njësitë e tyre, deri në momentin e pajisjes me arkë regjistruese.</w:t>
      </w:r>
    </w:p>
    <w:p w:rsidR="00227916" w:rsidRPr="00CB260E" w:rsidRDefault="00227916" w:rsidP="00227916">
      <w:pPr>
        <w:pStyle w:val="Paragrafi"/>
      </w:pPr>
      <w:r w:rsidRPr="00CB260E">
        <w:t>Këto sanksione zbatohen edhe për rastet kur në lokale a njësi të tjera vihen në përdorim aparate të ndryshme nga ato që janë të miratuara.</w:t>
      </w:r>
    </w:p>
    <w:p w:rsidR="00227916" w:rsidRPr="00CB260E" w:rsidRDefault="00227916" w:rsidP="00227916">
      <w:pPr>
        <w:pStyle w:val="Paragrafi"/>
      </w:pPr>
      <w:r w:rsidRPr="00CB260E">
        <w:t>b) Kur subjektet e pajisur me arka regjistruese, nuk lëshojnë kuponin tatimor ose e lëshojnë atë me vlerë më të vogël se vlera reale, dënohen me gjobë si më poshtë:</w:t>
      </w:r>
    </w:p>
    <w:p w:rsidR="00227916" w:rsidRPr="00CB260E" w:rsidRDefault="00227916" w:rsidP="00227916">
      <w:pPr>
        <w:pStyle w:val="Paragrafi"/>
      </w:pPr>
      <w:r w:rsidRPr="00CB260E">
        <w:t>1. Për subjektet e regjistruara në tatimin e vlerës së shtuar:</w:t>
      </w:r>
    </w:p>
    <w:p w:rsidR="00227916" w:rsidRPr="00CB260E" w:rsidRDefault="00227916" w:rsidP="00227916">
      <w:pPr>
        <w:pStyle w:val="Paragrafi"/>
      </w:pPr>
      <w:r w:rsidRPr="00CB260E">
        <w:t>- Kur shkelja bëhet për herë të parë, me tridhjetë mijë lekë.</w:t>
      </w:r>
    </w:p>
    <w:p w:rsidR="00227916" w:rsidRPr="00CB260E" w:rsidRDefault="00227916" w:rsidP="00227916">
      <w:pPr>
        <w:pStyle w:val="Paragrafi"/>
      </w:pPr>
      <w:r w:rsidRPr="00CB260E">
        <w:t>- Kur shkelja përsëritet për herë të dytë, me gjashtëdhjetë mijë lekë.</w:t>
      </w:r>
    </w:p>
    <w:p w:rsidR="00227916" w:rsidRPr="00CB260E" w:rsidRDefault="00227916" w:rsidP="00227916">
      <w:pPr>
        <w:pStyle w:val="Paragrafi"/>
      </w:pPr>
      <w:r w:rsidRPr="00CB260E">
        <w:t>2. Për subjektet e tjera që nuk janë të regjistruara në tatimin e vlerës së shtuar:</w:t>
      </w:r>
    </w:p>
    <w:p w:rsidR="00227916" w:rsidRPr="00CB260E" w:rsidRDefault="00227916" w:rsidP="00227916">
      <w:pPr>
        <w:pStyle w:val="Paragrafi"/>
      </w:pPr>
      <w:r w:rsidRPr="00CB260E">
        <w:t>- Kur shkelja bëhet për herë të parë, me pesëmbëdhjetë mijë lekë.</w:t>
      </w:r>
    </w:p>
    <w:p w:rsidR="00227916" w:rsidRPr="00CB260E" w:rsidRDefault="00227916" w:rsidP="00227916">
      <w:pPr>
        <w:pStyle w:val="Paragrafi"/>
      </w:pPr>
      <w:r w:rsidRPr="00CB260E">
        <w:t>- Kur shkelja përsëritet për herë të dytë, me tridhjetë mijë lekë.</w:t>
      </w:r>
    </w:p>
    <w:p w:rsidR="00227916" w:rsidRPr="00CB260E" w:rsidRDefault="00227916" w:rsidP="00227916">
      <w:pPr>
        <w:pStyle w:val="Paragrafi"/>
      </w:pPr>
      <w:r w:rsidRPr="00CB260E">
        <w:t xml:space="preserve">Në rast se gjatë dymbëdhjetë muajve të njëpasnjëshëm numri i shkeljeve të vërtetuara sipas pikës “b” të mësipërme për moslëshimin e kuponit tatimor apo të regjistrimit të një </w:t>
      </w:r>
    </w:p>
    <w:p w:rsidR="00227916" w:rsidRPr="00CB260E" w:rsidRDefault="00227916" w:rsidP="00227916">
      <w:pPr>
        <w:pStyle w:val="Paragrafi"/>
      </w:pPr>
      <w:r w:rsidRPr="00CB260E">
        <w:t>shume më të vogël se ajo reale është më shumë se dy herë, organi tatimor zbaton edhe masën e pezullimit të certifikatës së ushtrimit të veprimtarisë për një periudhë si më poshtë:</w:t>
      </w:r>
    </w:p>
    <w:p w:rsidR="00227916" w:rsidRPr="00CB260E" w:rsidRDefault="00227916" w:rsidP="00227916">
      <w:pPr>
        <w:pStyle w:val="Paragrafi"/>
      </w:pPr>
      <w:r w:rsidRPr="00CB260E">
        <w:t>- Për subjektet e regjistruara në tatimin e vlerës së shtuar jo më pak se nëntëdhjetë ditë dhe jo më shumë se njëqindenjëzet ditë.</w:t>
      </w:r>
    </w:p>
    <w:p w:rsidR="00227916" w:rsidRPr="00CB260E" w:rsidRDefault="00227916" w:rsidP="00227916">
      <w:pPr>
        <w:pStyle w:val="Paragrafi"/>
      </w:pPr>
      <w:r w:rsidRPr="00CB260E">
        <w:t xml:space="preserve"> - Për subjektet e tjera që nuk janë të regjistruara në tatimin e vlerës së shtuar, jo më pak se gjashtëdhjetë ditë dhe jo më shumë se nëntëdhjetë ditë.</w:t>
      </w:r>
    </w:p>
    <w:p w:rsidR="00227916" w:rsidRDefault="00227916" w:rsidP="00227916">
      <w:pPr>
        <w:pStyle w:val="NeniNr"/>
      </w:pPr>
    </w:p>
    <w:p w:rsidR="00227916" w:rsidRPr="00CB260E" w:rsidRDefault="00227916" w:rsidP="00227916">
      <w:pPr>
        <w:pStyle w:val="NeniNr"/>
      </w:pPr>
      <w:r w:rsidRPr="00CB260E">
        <w:t>Neni 2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Paragrafi"/>
      </w:pPr>
      <w:r w:rsidRPr="00CB260E">
        <w:t>Ky ligj hyn në fuqi 15 ditë pas botimit në Fletoren Zyrtare.</w:t>
      </w:r>
    </w:p>
    <w:p w:rsidR="00227916" w:rsidRPr="00CB260E" w:rsidRDefault="00227916" w:rsidP="00227916">
      <w:pPr>
        <w:pStyle w:val="Paragrafi"/>
      </w:pPr>
    </w:p>
    <w:p w:rsidR="00227916" w:rsidRPr="00CB260E" w:rsidRDefault="00227916" w:rsidP="00227916">
      <w:pPr>
        <w:pStyle w:val="Shpallja"/>
      </w:pPr>
      <w:r w:rsidRPr="00CB260E">
        <w:t>Shpallur me dekretin nr.1610, datë 19.9.1996 të Presidentit të Republikës së Shqipërisë, Sali Berisha</w:t>
      </w:r>
    </w:p>
    <w:p w:rsidR="00227916" w:rsidRPr="00CB260E" w:rsidRDefault="00227916" w:rsidP="00227916">
      <w:pPr>
        <w:pStyle w:val="Paragrafi"/>
      </w:pPr>
    </w:p>
    <w:sectPr w:rsidR="00227916" w:rsidRPr="00CB260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27916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56BB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6D7984-4F0D-48EC-AAD9-69C26880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227916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2019-03-27T09:28:00Z</dcterms:created>
  <dcterms:modified xsi:type="dcterms:W3CDTF">2019-03-27T09:28:00Z</dcterms:modified>
</cp:coreProperties>
</file>