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275" w:rsidRPr="00CA2279" w:rsidRDefault="00FB1275" w:rsidP="00FB1275">
      <w:pPr>
        <w:pStyle w:val="Akti"/>
      </w:pPr>
      <w:bookmarkStart w:id="0" w:name="_GoBack"/>
      <w:bookmarkEnd w:id="0"/>
      <w:r>
        <w:t>LIG</w:t>
      </w:r>
      <w:r w:rsidRPr="00CA2279">
        <w:t>J</w:t>
      </w:r>
    </w:p>
    <w:p w:rsidR="00FB1275" w:rsidRPr="00CA2279" w:rsidRDefault="00FB1275" w:rsidP="00FB1275">
      <w:pPr>
        <w:pStyle w:val="NumriData"/>
      </w:pPr>
      <w:r w:rsidRPr="00CA2279">
        <w:t>Nr.8307, datë 14.3.1998</w:t>
      </w:r>
      <w:r w:rsidRPr="00CA2279">
        <w:fldChar w:fldCharType="begin"/>
      </w:r>
      <w:r w:rsidRPr="00CA2279">
        <w:instrText>tc "Nr.8307, datë 14.3.1998"</w:instrText>
      </w:r>
      <w:r w:rsidRPr="00CA2279">
        <w:fldChar w:fldCharType="end"/>
      </w:r>
    </w:p>
    <w:p w:rsidR="00FB1275" w:rsidRPr="00CA2279" w:rsidRDefault="00FB1275" w:rsidP="00FB1275">
      <w:pPr>
        <w:pStyle w:val="Paragrafi"/>
      </w:pPr>
      <w:r w:rsidRPr="00CA2279">
        <w:fldChar w:fldCharType="begin"/>
      </w:r>
      <w:r w:rsidRPr="00CA2279">
        <w:instrText>tc ""</w:instrText>
      </w:r>
      <w:r w:rsidRPr="00CA2279">
        <w:fldChar w:fldCharType="end"/>
      </w:r>
    </w:p>
    <w:p w:rsidR="00FB1275" w:rsidRPr="00CA2279" w:rsidRDefault="00FB1275" w:rsidP="00FB1275">
      <w:pPr>
        <w:pStyle w:val="Titulli"/>
      </w:pPr>
      <w:r w:rsidRPr="00CA2279">
        <w:t>PËR ZHVILLIMIN E ROTACIONIT NË GJYKATËN KUSHTETUESE</w:t>
      </w:r>
      <w:r w:rsidRPr="00CA2279">
        <w:fldChar w:fldCharType="begin"/>
      </w:r>
      <w:r w:rsidRPr="00CA2279">
        <w:instrText>tc "PËR ZHVILLIMIN E ROTACIONIT NË GJYKATËN KUSHTETUESE"</w:instrText>
      </w:r>
      <w:r w:rsidRPr="00CA2279">
        <w:fldChar w:fldCharType="end"/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BazLigjPropozues"/>
      </w:pPr>
      <w:r w:rsidRPr="00CA2279">
        <w:t xml:space="preserve">Në mbështetje të nenit 16, të ligjit nr.7491, datë 29.4.1991 “Për dispozitat kryesore kushtetuese” dhe në zbatim të neneve 18 dhe 28 të ligjit nr.7561, datë 29.4.1992 “Për disa ndryshime e plotësime në ligjin nr.7491, datë 29.4.1991 “Për dispozitat kryesore kushtetuese””, me propozimin e një grupi deputetësh, 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Institucioni"/>
      </w:pPr>
      <w:r w:rsidRPr="00CA2279">
        <w:t>KUVENDI POPULLOR</w:t>
      </w:r>
    </w:p>
    <w:p w:rsidR="00FB1275" w:rsidRPr="00CA2279" w:rsidRDefault="00FB1275" w:rsidP="00FB1275">
      <w:pPr>
        <w:pStyle w:val="Institucioni"/>
      </w:pPr>
      <w:r w:rsidRPr="00CA2279">
        <w:t>I REPUBLIKËS SË SHQIPËRISË</w:t>
      </w:r>
    </w:p>
    <w:p w:rsidR="00FB1275" w:rsidRPr="00CA2279" w:rsidRDefault="00FB1275" w:rsidP="00FB1275">
      <w:pPr>
        <w:pStyle w:val="Institucioni"/>
      </w:pPr>
    </w:p>
    <w:p w:rsidR="00FB1275" w:rsidRPr="00CA2279" w:rsidRDefault="00FB1275" w:rsidP="00FB1275">
      <w:pPr>
        <w:pStyle w:val="VENDOSI"/>
      </w:pPr>
      <w:r w:rsidRPr="00CA2279">
        <w:t>V E N D O S I: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NeniNr"/>
      </w:pPr>
      <w:r w:rsidRPr="00CA2279">
        <w:t>Neni 1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Paragrafi"/>
      </w:pPr>
      <w:r w:rsidRPr="00CA2279">
        <w:t>Gjykata Kushtetuese e hedh vetë shortin jo më vonë se 30 ditë nga data kur mbaron afati 3 vjeçar për ripërtëritjen e anëtarëve të saj.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NeniNr"/>
      </w:pPr>
      <w:r w:rsidRPr="00CA2279">
        <w:t>Neni 2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Paragrafi"/>
      </w:pPr>
      <w:r w:rsidRPr="00CA2279">
        <w:t>Në rast se shorti nuk hidhet brenda afatit të përcaktuar në nenin 1 nga vetë Gjykata Kushtetuese, atëherë ngarkohet Kryetari i Kuvendit Popullor të realizojë  menjëherë hedhjen e këtij shorti.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NeniNr"/>
      </w:pPr>
      <w:r w:rsidRPr="00CA2279">
        <w:t>Neni 3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Paragrafi"/>
      </w:pPr>
      <w:r w:rsidRPr="00CA2279">
        <w:t>Për hedhjen e shortit krijohet një komision ad hoc, i përbërë nga 5 anëtarë, i cili miratohet nga Kryetari i Kuvendit Popullor (ose nga Gjykata Kushtetuese sipas  parashikimit të nenit 1). Në këtë komision marrin pjesë 1 anëtar i Komisionit të Përhershëm Parlamentar të Ligjeve, 1 anëtar i Komisionit të Përhershëm Parlamentar të Mandateve, Imunitetit dhe Rregullores, 1 përfaqësues nga Presidenca, Kryetari i Shoqatës së Gjyqtarëve ose 1 përfaqësues i caktuar prej tij dhe 1 përfaqësues nga Dhoma Kombëtare e Avokatëve. Në zhvillimin e këtij procesi ftohet të marrë pjesë edhe një sekretare e Gjykatës Kushtetuese. Anëtarët e komisioneve parlamentare propozohen nga kryetarët e komisioneve.</w:t>
      </w:r>
    </w:p>
    <w:p w:rsidR="00FB1275" w:rsidRPr="00CA2279" w:rsidRDefault="00FB1275" w:rsidP="00FB1275">
      <w:pPr>
        <w:pStyle w:val="Paragrafi"/>
      </w:pPr>
      <w:r w:rsidRPr="00CA2279">
        <w:t>Komisioni ka për detyrë të zgjedhë edhe mënyrën e hedhjes së shortit, e cila duhet të jetë e tillë që të sigurojë fshehtësinë dhe objektivitetin e duhur për këtë proces.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NeniNr"/>
      </w:pPr>
      <w:r w:rsidRPr="00CA2279">
        <w:t>Neni 4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Paragrafi"/>
      </w:pPr>
      <w:r w:rsidRPr="00CA2279">
        <w:t>Në hedhjen e shortit kanë të drejtë të të jenë të pranishëm anëtarët e Gjykatës Kushtetuese, të cilët njoftohen të paktën dy ditë përpara se të hidhet shorti.</w:t>
      </w:r>
    </w:p>
    <w:p w:rsidR="00FB1275" w:rsidRPr="00CA2279" w:rsidRDefault="00FB1275" w:rsidP="00FB1275">
      <w:pPr>
        <w:pStyle w:val="Paragrafi"/>
      </w:pPr>
      <w:r w:rsidRPr="00CA2279">
        <w:t>Hedhja e shortit bëhet publike, në prani të publikut si dhe të gazetarëve me transmetim nga RTV Shtetëror.</w:t>
      </w:r>
    </w:p>
    <w:p w:rsidR="00FB1275" w:rsidRPr="00CA2279" w:rsidRDefault="00FB1275" w:rsidP="00FB1275">
      <w:pPr>
        <w:pStyle w:val="Paragrafi"/>
      </w:pPr>
      <w:r w:rsidRPr="00CA2279">
        <w:t>Pas përfundimit të shortit Komisioni menjëherë shpall përfundimet e tij..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NeniNr"/>
      </w:pPr>
      <w:r w:rsidRPr="00CA2279">
        <w:t>Neni 5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Paragrafi"/>
      </w:pPr>
      <w:r w:rsidRPr="00CA2279">
        <w:t>Ky ligj hyn në fuqi ditën e shpalljes  nga Presidenti i Republikës.</w:t>
      </w:r>
    </w:p>
    <w:p w:rsidR="00FB1275" w:rsidRPr="00CA2279" w:rsidRDefault="00FB1275" w:rsidP="00FB1275">
      <w:pPr>
        <w:pStyle w:val="Paragrafi"/>
      </w:pPr>
    </w:p>
    <w:p w:rsidR="00FB1275" w:rsidRPr="00CA2279" w:rsidRDefault="00FB1275" w:rsidP="00FB1275">
      <w:pPr>
        <w:pStyle w:val="Shpallja"/>
        <w:tabs>
          <w:tab w:val="left" w:pos="4140"/>
        </w:tabs>
      </w:pPr>
      <w:r w:rsidRPr="00CA2279">
        <w:t>Shpallur me dekretin nr.2016, datë 16.3.1998 të Presidentit të Republikës së Shqipërisë, Rexhep Meidani.</w:t>
      </w:r>
    </w:p>
    <w:sectPr w:rsidR="00FB1275" w:rsidRPr="00CA227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B014A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127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1D9EF9-A831-4F29-BB8C-96E7F0CF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