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E36" w:rsidRPr="0052514E" w:rsidRDefault="00B91E36" w:rsidP="00B91E36">
      <w:pPr>
        <w:pStyle w:val="Akti"/>
      </w:pPr>
      <w:bookmarkStart w:id="0" w:name="_GoBack"/>
      <w:bookmarkEnd w:id="0"/>
      <w:r w:rsidRPr="0052514E">
        <w:t>L I G J</w:t>
      </w:r>
    </w:p>
    <w:p w:rsidR="00B91E36" w:rsidRPr="0052514E" w:rsidRDefault="00B91E36" w:rsidP="00B91E36">
      <w:pPr>
        <w:pStyle w:val="NumriData"/>
      </w:pPr>
      <w:r w:rsidRPr="0052514E">
        <w:t>Nr.8458, datë 11.2.1999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Titulli"/>
      </w:pPr>
      <w:r w:rsidRPr="0052514E">
        <w:t>PËR NJË NDRYSHIM NË LIGJIN NR.8081, DATË 7.3.1996 “PËR VEPRIMTARITË E SIGURIMIT DHE TË RISIGURIMIT”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BazLigjPropozues"/>
      </w:pPr>
      <w:r w:rsidRPr="0052514E">
        <w:t>Në mbështetje të neneve 78, 81 dhe 83 pika 1 të Kushtetutës, me propozimin e Këshillit të Ministrave,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Institucioni"/>
      </w:pPr>
      <w:r w:rsidRPr="0052514E">
        <w:t>KUVENDI</w:t>
      </w:r>
    </w:p>
    <w:p w:rsidR="00B91E36" w:rsidRPr="0052514E" w:rsidRDefault="00B91E36" w:rsidP="00B91E36">
      <w:pPr>
        <w:pStyle w:val="Institucioni"/>
      </w:pPr>
      <w:r w:rsidRPr="0052514E">
        <w:t>I REPUBLIKËS SË SHQIPËRISË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VENDOSI"/>
      </w:pPr>
      <w:r w:rsidRPr="0052514E">
        <w:t>V E N D O S I: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NeniNr"/>
      </w:pPr>
      <w:r w:rsidRPr="0052514E">
        <w:t>Neni 1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Paragrafi"/>
      </w:pPr>
      <w:r w:rsidRPr="0052514E">
        <w:t>Në ligjin nr.8081, datë 7.3.1996 “Për veprimtaritë e sigurimit dhe të risigurimit”, paragrafi i dytë i nenit 14 ndryshohet si vijon:</w:t>
      </w:r>
    </w:p>
    <w:p w:rsidR="00B91E36" w:rsidRPr="0052514E" w:rsidRDefault="00B91E36" w:rsidP="00B91E36">
      <w:pPr>
        <w:pStyle w:val="Paragrafi"/>
      </w:pPr>
      <w:r w:rsidRPr="0052514E">
        <w:t>“Këto kontribute caktohen çdo vit dhe për çdo shoqëri nga Ministri i Financave, në përpjesëtim me shumën e primeve ose të kuotave të fituara, por nuk mund të jenë më shumë se 0.005 (pesë të mijtat) e shumës së këtyre primeve apo kuotave.”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NeniNr"/>
      </w:pPr>
      <w:r w:rsidRPr="0052514E">
        <w:t>Neni 2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Paragrafi"/>
      </w:pPr>
      <w:r w:rsidRPr="0052514E">
        <w:t>Ky ligj hyn në fuqi 15 ditë pas botimit në Fletoren Zyrtare.</w:t>
      </w:r>
    </w:p>
    <w:p w:rsidR="00B91E36" w:rsidRPr="0052514E" w:rsidRDefault="00B91E36" w:rsidP="00B91E36">
      <w:pPr>
        <w:pStyle w:val="Paragrafi"/>
      </w:pPr>
    </w:p>
    <w:p w:rsidR="00B91E36" w:rsidRPr="0052514E" w:rsidRDefault="00B91E36" w:rsidP="00B91E36">
      <w:pPr>
        <w:pStyle w:val="Shpallja"/>
      </w:pPr>
      <w:r w:rsidRPr="0052514E">
        <w:t xml:space="preserve">Shpallur me dekretin nr.2317, datë 18.2.1999 të Presidentit </w:t>
      </w:r>
      <w:r>
        <w:t xml:space="preserve">të Republikës së Shqipërisë,  </w:t>
      </w:r>
      <w:r w:rsidRPr="0052514E">
        <w:t>Rexhep Meidani</w:t>
      </w:r>
    </w:p>
    <w:p w:rsidR="00B91E36" w:rsidRPr="0052514E" w:rsidRDefault="00B91E36" w:rsidP="00B91E36">
      <w:pPr>
        <w:pStyle w:val="Paragrafi"/>
      </w:pPr>
    </w:p>
    <w:p w:rsidR="00A0784B" w:rsidRPr="003941D1" w:rsidRDefault="00A0784B" w:rsidP="00B91E36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92ED0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1E36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3139D2-958D-4D41-BB27-3F31A6C8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E36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