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7A4" w:rsidRPr="00A7060A" w:rsidRDefault="008F27A4" w:rsidP="003C6D67">
      <w:pPr>
        <w:pStyle w:val="Akti"/>
        <w:rPr>
          <w:rFonts w:ascii="Garamond" w:hAnsi="Garamond"/>
          <w:sz w:val="24"/>
          <w:szCs w:val="24"/>
        </w:rPr>
      </w:pPr>
      <w:r w:rsidRPr="00A7060A">
        <w:rPr>
          <w:rFonts w:ascii="Garamond" w:hAnsi="Garamond"/>
          <w:sz w:val="24"/>
          <w:szCs w:val="24"/>
        </w:rPr>
        <w:t>L I G J</w:t>
      </w:r>
    </w:p>
    <w:p w:rsidR="008F27A4" w:rsidRPr="00A7060A" w:rsidRDefault="008F27A4" w:rsidP="003C6D67">
      <w:pPr>
        <w:pStyle w:val="NumriData"/>
        <w:rPr>
          <w:rFonts w:ascii="Garamond" w:hAnsi="Garamond"/>
          <w:sz w:val="24"/>
          <w:szCs w:val="24"/>
        </w:rPr>
      </w:pPr>
      <w:r w:rsidRPr="00A7060A">
        <w:rPr>
          <w:rFonts w:ascii="Garamond" w:hAnsi="Garamond"/>
          <w:sz w:val="24"/>
          <w:szCs w:val="24"/>
        </w:rPr>
        <w:t>Nr.8498, datë 10.6.1999</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
        <w:rPr>
          <w:rFonts w:ascii="Garamond" w:hAnsi="Garamond"/>
          <w:sz w:val="24"/>
          <w:szCs w:val="24"/>
        </w:rPr>
      </w:pPr>
      <w:r w:rsidRPr="00A7060A">
        <w:rPr>
          <w:rFonts w:ascii="Garamond" w:hAnsi="Garamond"/>
          <w:sz w:val="24"/>
          <w:szCs w:val="24"/>
        </w:rPr>
        <w:t>PËR RATIFIKIMIN E KONVENTËS SË KËSHILLIT TË EUROPËS “PËR NDIHMËN E NDËRSJELLË JURIDIKE NË FUSHËN PENALE” DHE PROTOKOLLIN E SAJ SHTESË</w:t>
      </w:r>
    </w:p>
    <w:p w:rsidR="00517DEF" w:rsidRPr="00A7060A" w:rsidRDefault="00517DEF" w:rsidP="00517DEF">
      <w:pPr>
        <w:pStyle w:val="NumriData"/>
        <w:rPr>
          <w:rFonts w:ascii="Garamond" w:hAnsi="Garamond"/>
          <w:b w:val="0"/>
          <w:i/>
          <w:sz w:val="24"/>
          <w:szCs w:val="24"/>
        </w:rPr>
      </w:pPr>
      <w:bookmarkStart w:id="0" w:name="_Hlk224734782"/>
      <w:bookmarkStart w:id="1" w:name="_GoBack"/>
      <w:r w:rsidRPr="00A7060A">
        <w:rPr>
          <w:rFonts w:ascii="Garamond" w:hAnsi="Garamond"/>
          <w:b w:val="0"/>
          <w:i/>
          <w:sz w:val="24"/>
          <w:szCs w:val="24"/>
        </w:rPr>
        <w:t>(Ndryshuar me ligjin nr. 9539, datë 22.5.2006</w:t>
      </w:r>
      <w:r w:rsidRPr="00A7060A">
        <w:rPr>
          <w:rFonts w:ascii="Garamond" w:hAnsi="Garamond"/>
          <w:b w:val="0"/>
          <w:i/>
          <w:sz w:val="24"/>
          <w:szCs w:val="24"/>
        </w:rPr>
        <w:t>)</w:t>
      </w:r>
    </w:p>
    <w:bookmarkEnd w:id="1"/>
    <w:p w:rsidR="00517DEF" w:rsidRPr="00A7060A" w:rsidRDefault="00517DEF" w:rsidP="00517DEF">
      <w:pPr>
        <w:pStyle w:val="NumriData"/>
        <w:keepNext w:val="0"/>
        <w:rPr>
          <w:rFonts w:ascii="Garamond" w:hAnsi="Garamond"/>
          <w:b w:val="0"/>
          <w:i/>
          <w:sz w:val="24"/>
          <w:szCs w:val="24"/>
        </w:rPr>
      </w:pPr>
    </w:p>
    <w:bookmarkEnd w:id="0"/>
    <w:p w:rsidR="00517DEF" w:rsidRPr="00A7060A" w:rsidRDefault="00517DEF" w:rsidP="00517DEF">
      <w:pPr>
        <w:pStyle w:val="Paragrafi"/>
        <w:jc w:val="right"/>
        <w:rPr>
          <w:rFonts w:ascii="Garamond" w:hAnsi="Garamond"/>
          <w:i/>
          <w:sz w:val="24"/>
          <w:szCs w:val="24"/>
        </w:rPr>
      </w:pPr>
      <w:r w:rsidRPr="00A7060A">
        <w:rPr>
          <w:rFonts w:ascii="Garamond" w:hAnsi="Garamond"/>
          <w:i/>
          <w:sz w:val="24"/>
          <w:szCs w:val="24"/>
        </w:rPr>
        <w:t>(I përditësuar)</w:t>
      </w:r>
    </w:p>
    <w:p w:rsidR="008F27A4" w:rsidRPr="00A7060A" w:rsidRDefault="008F27A4" w:rsidP="003C6D67">
      <w:pPr>
        <w:pStyle w:val="BazLigjPropozues"/>
        <w:rPr>
          <w:rFonts w:ascii="Garamond" w:hAnsi="Garamond"/>
          <w:sz w:val="24"/>
          <w:szCs w:val="24"/>
        </w:rPr>
      </w:pPr>
      <w:r w:rsidRPr="00A7060A">
        <w:rPr>
          <w:rFonts w:ascii="Garamond" w:hAnsi="Garamond"/>
          <w:sz w:val="24"/>
          <w:szCs w:val="24"/>
        </w:rPr>
        <w:t>Në mbështetje të neneve 78, 83 pika 1 dhe 121 të Kushtetutës, me propozimin e Këshillit të Ministrave</w:t>
      </w:r>
    </w:p>
    <w:p w:rsidR="008F27A4" w:rsidRPr="00A7060A" w:rsidRDefault="008F27A4" w:rsidP="003C6D67">
      <w:pPr>
        <w:pStyle w:val="Institucioni"/>
        <w:rPr>
          <w:rFonts w:ascii="Garamond" w:hAnsi="Garamond"/>
          <w:sz w:val="24"/>
          <w:szCs w:val="24"/>
        </w:rPr>
      </w:pPr>
      <w:r w:rsidRPr="00A7060A">
        <w:rPr>
          <w:rFonts w:ascii="Garamond" w:hAnsi="Garamond"/>
          <w:sz w:val="24"/>
          <w:szCs w:val="24"/>
        </w:rPr>
        <w:t xml:space="preserve"> </w:t>
      </w:r>
    </w:p>
    <w:p w:rsidR="008F27A4" w:rsidRPr="00A7060A" w:rsidRDefault="008F27A4" w:rsidP="003C6D67">
      <w:pPr>
        <w:pStyle w:val="Institucioni"/>
        <w:rPr>
          <w:rFonts w:ascii="Garamond" w:hAnsi="Garamond"/>
          <w:sz w:val="24"/>
          <w:szCs w:val="24"/>
        </w:rPr>
      </w:pPr>
      <w:r w:rsidRPr="00A7060A">
        <w:rPr>
          <w:rFonts w:ascii="Garamond" w:hAnsi="Garamond"/>
          <w:sz w:val="24"/>
          <w:szCs w:val="24"/>
        </w:rPr>
        <w:t>K U V E N D I</w:t>
      </w:r>
    </w:p>
    <w:p w:rsidR="008F27A4" w:rsidRPr="00A7060A" w:rsidRDefault="008F27A4" w:rsidP="003C6D67">
      <w:pPr>
        <w:pStyle w:val="Institucioni"/>
        <w:rPr>
          <w:rFonts w:ascii="Garamond" w:hAnsi="Garamond"/>
          <w:sz w:val="24"/>
          <w:szCs w:val="24"/>
        </w:rPr>
      </w:pPr>
      <w:r w:rsidRPr="00A7060A">
        <w:rPr>
          <w:rFonts w:ascii="Garamond" w:hAnsi="Garamond"/>
          <w:sz w:val="24"/>
          <w:szCs w:val="24"/>
        </w:rPr>
        <w:t>I REPUBLIKËS SË SHQIPËRISË</w:t>
      </w:r>
    </w:p>
    <w:p w:rsidR="008F27A4" w:rsidRPr="00A7060A" w:rsidRDefault="008F27A4" w:rsidP="008F27A4">
      <w:pPr>
        <w:pStyle w:val="Paragrafi"/>
        <w:rPr>
          <w:rFonts w:ascii="Garamond" w:hAnsi="Garamond"/>
          <w:sz w:val="24"/>
          <w:szCs w:val="24"/>
        </w:rPr>
      </w:pPr>
    </w:p>
    <w:p w:rsidR="008F27A4" w:rsidRPr="00A7060A" w:rsidRDefault="008F27A4" w:rsidP="003C6D67">
      <w:pPr>
        <w:pStyle w:val="VENDOSI"/>
        <w:rPr>
          <w:rFonts w:ascii="Garamond" w:hAnsi="Garamond"/>
          <w:sz w:val="24"/>
          <w:szCs w:val="24"/>
        </w:rPr>
      </w:pPr>
      <w:r w:rsidRPr="00A7060A">
        <w:rPr>
          <w:rFonts w:ascii="Garamond" w:hAnsi="Garamond"/>
          <w:sz w:val="24"/>
          <w:szCs w:val="24"/>
        </w:rPr>
        <w:t>V E N D O S I:</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Ratifikohet Konventa e Këshillit të Europës “Për ndihmën e ndërsjellë juridike në fushën penale” të datës 20 prill 1957 dhe të protokollit të saj shtesë të datës 17 mars 1997 me rezervat dhe deklarimet e parashikuara në këtë ligj.</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w:t>
      </w:r>
    </w:p>
    <w:p w:rsidR="00517DEF" w:rsidRPr="00A7060A" w:rsidRDefault="00517DEF" w:rsidP="00517DEF">
      <w:pPr>
        <w:pStyle w:val="NumriData"/>
        <w:rPr>
          <w:rFonts w:ascii="Garamond" w:hAnsi="Garamond"/>
          <w:b w:val="0"/>
          <w:i/>
          <w:sz w:val="24"/>
          <w:szCs w:val="24"/>
        </w:rPr>
      </w:pPr>
      <w:r w:rsidRPr="00A7060A">
        <w:rPr>
          <w:rFonts w:ascii="Garamond" w:hAnsi="Garamond"/>
          <w:b w:val="0"/>
          <w:i/>
          <w:sz w:val="24"/>
          <w:szCs w:val="24"/>
        </w:rPr>
        <w:t xml:space="preserve">(Ndryshuar </w:t>
      </w:r>
      <w:r w:rsidRPr="00A7060A">
        <w:rPr>
          <w:rFonts w:ascii="Garamond" w:hAnsi="Garamond"/>
          <w:b w:val="0"/>
          <w:i/>
          <w:sz w:val="24"/>
          <w:szCs w:val="24"/>
        </w:rPr>
        <w:t xml:space="preserve">pika 2 dhe 3 </w:t>
      </w:r>
      <w:r w:rsidRPr="00A7060A">
        <w:rPr>
          <w:rFonts w:ascii="Garamond" w:hAnsi="Garamond"/>
          <w:b w:val="0"/>
          <w:i/>
          <w:sz w:val="24"/>
          <w:szCs w:val="24"/>
        </w:rPr>
        <w:t>me ligjin nr. 9539, datë 22.5.2006)</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Lidhur me Konventën, pala shqiptare shpreh këto rezerva: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1. Sekuestrimi, konfiskimi i sendeve dhe ekzekutimi i kërkesave të tilla do të bëhen vetëm në kushtet e parashikuara në nenin 5 pika 1 shkronja “a” dhe “c”.</w:t>
      </w:r>
    </w:p>
    <w:p w:rsidR="008F27A4" w:rsidRPr="00A7060A" w:rsidRDefault="008F27A4" w:rsidP="008F27A4">
      <w:pPr>
        <w:pStyle w:val="Paragrafi"/>
        <w:rPr>
          <w:rFonts w:ascii="Garamond" w:hAnsi="Garamond"/>
          <w:sz w:val="24"/>
          <w:szCs w:val="24"/>
        </w:rPr>
      </w:pPr>
      <w:r w:rsidRPr="00A7060A">
        <w:rPr>
          <w:rFonts w:ascii="Garamond" w:hAnsi="Garamond"/>
          <w:sz w:val="24"/>
          <w:szCs w:val="24"/>
        </w:rPr>
        <w:t>Lidhur me Konventën, pala shqiptare deklaron 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1. në zbatim të nenit 15 pika 6 duhet që një kopje e të gjitha kërkesave për ndihmë juridike, të komunikuara drejtpërdrejt ndërmjet autoriteteve gjyqësore, si dhe të akteve shoqëruese t’i dërgohen, në të njëjtën kohë, edhe Ministrisë së Drejtësisë;</w:t>
      </w:r>
    </w:p>
    <w:p w:rsidR="00517DEF" w:rsidRPr="00A7060A" w:rsidRDefault="00517DEF" w:rsidP="00517DEF">
      <w:pPr>
        <w:pStyle w:val="Paragrafi"/>
        <w:rPr>
          <w:rFonts w:ascii="Garamond" w:hAnsi="Garamond"/>
          <w:sz w:val="24"/>
          <w:szCs w:val="24"/>
        </w:rPr>
      </w:pPr>
      <w:r w:rsidRPr="00A7060A">
        <w:rPr>
          <w:rFonts w:ascii="Garamond" w:hAnsi="Garamond"/>
          <w:sz w:val="24"/>
          <w:szCs w:val="24"/>
        </w:rPr>
        <w:t>2. Lidhur me nenin 16 paragrafi i dytë, kërkesa për ndihmë të ndërsjellë dhe dokumentet që u bashkëlidhen shoqërohen me përkthimin autentik zyrtar në gjuhën shqipe dhe, kur nuk është e mundur, në gjuhën angleze.</w:t>
      </w:r>
    </w:p>
    <w:p w:rsidR="00517DEF" w:rsidRPr="00A7060A" w:rsidRDefault="00517DEF" w:rsidP="00517DEF">
      <w:pPr>
        <w:pStyle w:val="Paragrafi"/>
        <w:rPr>
          <w:rFonts w:ascii="Garamond" w:hAnsi="Garamond"/>
          <w:sz w:val="24"/>
          <w:szCs w:val="24"/>
        </w:rPr>
      </w:pPr>
      <w:r w:rsidRPr="00A7060A">
        <w:rPr>
          <w:rFonts w:ascii="Garamond" w:hAnsi="Garamond"/>
          <w:sz w:val="24"/>
          <w:szCs w:val="24"/>
        </w:rPr>
        <w:t>Republika e Shqipërisë, për dokumente më të gjata, si dhe në rastin kur marrësi është shtetas shqiptar ose kur vendbanimi i tij/saj është në Shqipëri, rezervon të drejtën për të kërkuar një përkthim autentik zyrtar në gjuhën shqipe, e përcaktuar kjo rast pas rasti.</w:t>
      </w:r>
    </w:p>
    <w:p w:rsidR="00517DEF" w:rsidRPr="00A7060A" w:rsidRDefault="00517DEF" w:rsidP="00517DEF">
      <w:pPr>
        <w:pStyle w:val="Paragrafi"/>
        <w:rPr>
          <w:rFonts w:ascii="Garamond" w:hAnsi="Garamond"/>
          <w:sz w:val="24"/>
          <w:szCs w:val="24"/>
        </w:rPr>
      </w:pPr>
      <w:r w:rsidRPr="00A7060A">
        <w:rPr>
          <w:rFonts w:ascii="Garamond" w:hAnsi="Garamond"/>
          <w:sz w:val="24"/>
          <w:szCs w:val="24"/>
        </w:rPr>
        <w:t>3. Autoritetet gjyqësore, në kuptim të nenit 24 të kësaj Konvente, janë Gjykata e Lartë, gjykatat e apelit, gjykatat e shkallës së parë, Prokuroria e Përgjithshme, prokuroritë pranë gjykatave të apelit dhe prokuroritë pranë gjykatave të shkallës së parë.</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3</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Ky ligj hyn në fuqi 15 ditë pas botimit në Fletoren Zyrtare.</w:t>
      </w:r>
    </w:p>
    <w:p w:rsidR="008F27A4" w:rsidRPr="00A7060A" w:rsidRDefault="008F27A4" w:rsidP="008F27A4">
      <w:pPr>
        <w:pStyle w:val="Paragrafi"/>
        <w:rPr>
          <w:rFonts w:ascii="Garamond" w:hAnsi="Garamond"/>
          <w:sz w:val="24"/>
          <w:szCs w:val="24"/>
        </w:rPr>
      </w:pPr>
    </w:p>
    <w:p w:rsidR="008F27A4" w:rsidRPr="00A7060A" w:rsidRDefault="008F27A4" w:rsidP="003C6D67">
      <w:pPr>
        <w:pStyle w:val="Shpallja"/>
        <w:rPr>
          <w:rFonts w:ascii="Garamond" w:hAnsi="Garamond"/>
          <w:sz w:val="24"/>
          <w:szCs w:val="24"/>
        </w:rPr>
      </w:pPr>
      <w:r w:rsidRPr="00A7060A">
        <w:rPr>
          <w:rFonts w:ascii="Garamond" w:hAnsi="Garamond"/>
          <w:sz w:val="24"/>
          <w:szCs w:val="24"/>
        </w:rPr>
        <w:t xml:space="preserve">Shpallur me dekretin nr.2400, datë 29.6.1999 të Presidentit të Republikës së Shqipërisë, </w:t>
      </w:r>
      <w:r w:rsidRPr="00A7060A">
        <w:rPr>
          <w:rFonts w:ascii="Garamond" w:hAnsi="Garamond"/>
          <w:sz w:val="24"/>
          <w:szCs w:val="24"/>
        </w:rPr>
        <w:lastRenderedPageBreak/>
        <w:t>Rexhep Meidani</w:t>
      </w:r>
    </w:p>
    <w:p w:rsidR="008F27A4" w:rsidRPr="00A7060A" w:rsidRDefault="008F27A4"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8F27A4" w:rsidRPr="00A7060A" w:rsidRDefault="008F27A4" w:rsidP="003C6D67">
      <w:pPr>
        <w:pStyle w:val="TitulliTitull"/>
        <w:rPr>
          <w:rFonts w:ascii="Garamond" w:hAnsi="Garamond"/>
          <w:sz w:val="24"/>
          <w:szCs w:val="24"/>
        </w:rPr>
      </w:pPr>
      <w:r w:rsidRPr="00A7060A">
        <w:rPr>
          <w:rFonts w:ascii="Garamond" w:hAnsi="Garamond"/>
          <w:sz w:val="24"/>
          <w:szCs w:val="24"/>
        </w:rPr>
        <w:t>KONVENTA EUROPIANE</w:t>
      </w:r>
      <w:r w:rsidR="003C6D67" w:rsidRPr="00A7060A">
        <w:rPr>
          <w:rFonts w:ascii="Garamond" w:hAnsi="Garamond"/>
          <w:sz w:val="24"/>
          <w:szCs w:val="24"/>
        </w:rPr>
        <w:t xml:space="preserve"> </w:t>
      </w:r>
      <w:r w:rsidRPr="00A7060A">
        <w:rPr>
          <w:rFonts w:ascii="Garamond" w:hAnsi="Garamond"/>
          <w:sz w:val="24"/>
          <w:szCs w:val="24"/>
        </w:rPr>
        <w:t>E NDIHMËS JURIDIKE NË FUSHËN PENALE</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Titull"/>
        <w:rPr>
          <w:rFonts w:ascii="Garamond" w:hAnsi="Garamond"/>
          <w:sz w:val="24"/>
          <w:szCs w:val="24"/>
        </w:rPr>
      </w:pPr>
      <w:r w:rsidRPr="00A7060A">
        <w:rPr>
          <w:rFonts w:ascii="Garamond" w:hAnsi="Garamond"/>
          <w:sz w:val="24"/>
          <w:szCs w:val="24"/>
        </w:rPr>
        <w:t>HYRJE</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Qeveritë që firmosin këtë Konventë, anëtarë të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Duke pasur në konsideratë që Këshilli i Europës ka për qëllim realizimin e një lidhjeje më të ngushtë ndërmjet anëtarëve të tij;</w:t>
      </w:r>
    </w:p>
    <w:p w:rsidR="008F27A4" w:rsidRPr="00A7060A" w:rsidRDefault="008F27A4" w:rsidP="008F27A4">
      <w:pPr>
        <w:pStyle w:val="Paragrafi"/>
        <w:rPr>
          <w:rFonts w:ascii="Garamond" w:hAnsi="Garamond"/>
          <w:sz w:val="24"/>
          <w:szCs w:val="24"/>
        </w:rPr>
      </w:pPr>
      <w:r w:rsidRPr="00A7060A">
        <w:rPr>
          <w:rFonts w:ascii="Garamond" w:hAnsi="Garamond"/>
          <w:sz w:val="24"/>
          <w:szCs w:val="24"/>
        </w:rPr>
        <w:t>Të bindur se miratimi i dispozitave të përgjithshme në kuadrin e ndihmës juridike në fushën penale lejon arritjen e këtij qëllimi;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Duke patur në konsideratë që ndihma juridike është një fushë e lidhur me atë të ekstradimit, fushë e cila </w:t>
      </w:r>
      <w:proofErr w:type="gramStart"/>
      <w:r w:rsidRPr="00A7060A">
        <w:rPr>
          <w:rFonts w:ascii="Garamond" w:hAnsi="Garamond"/>
          <w:sz w:val="24"/>
          <w:szCs w:val="24"/>
        </w:rPr>
        <w:t>ka  përbërë</w:t>
      </w:r>
      <w:proofErr w:type="gramEnd"/>
      <w:r w:rsidRPr="00A7060A">
        <w:rPr>
          <w:rFonts w:ascii="Garamond" w:hAnsi="Garamond"/>
          <w:sz w:val="24"/>
          <w:szCs w:val="24"/>
        </w:rPr>
        <w:t xml:space="preserve"> objektin e Konventës së datës 13 dhjetor 1957;</w:t>
      </w:r>
    </w:p>
    <w:p w:rsidR="008F27A4" w:rsidRPr="00A7060A" w:rsidRDefault="008F27A4" w:rsidP="008F27A4">
      <w:pPr>
        <w:pStyle w:val="Paragrafi"/>
        <w:rPr>
          <w:rFonts w:ascii="Garamond" w:hAnsi="Garamond"/>
          <w:sz w:val="24"/>
          <w:szCs w:val="24"/>
        </w:rPr>
      </w:pPr>
      <w:r w:rsidRPr="00A7060A">
        <w:rPr>
          <w:rFonts w:ascii="Garamond" w:hAnsi="Garamond"/>
          <w:sz w:val="24"/>
          <w:szCs w:val="24"/>
        </w:rPr>
        <w:t>Kanë rënë dakord si më poshtë:</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t>TITULLI I</w:t>
      </w:r>
    </w:p>
    <w:p w:rsidR="008F27A4" w:rsidRPr="00A7060A" w:rsidRDefault="008F27A4" w:rsidP="003C6D67">
      <w:pPr>
        <w:pStyle w:val="TitulliTitull"/>
        <w:rPr>
          <w:rFonts w:ascii="Garamond" w:hAnsi="Garamond"/>
          <w:sz w:val="24"/>
          <w:szCs w:val="24"/>
        </w:rPr>
      </w:pPr>
      <w:r w:rsidRPr="00A7060A">
        <w:rPr>
          <w:rFonts w:ascii="Garamond" w:hAnsi="Garamond"/>
          <w:sz w:val="24"/>
          <w:szCs w:val="24"/>
        </w:rPr>
        <w:t>DISPOZITA TË PËRGJITHSHME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Palët kontraktuese angazhohen të japin në mënyrë të ndërsjellë, sipas dispozitave të kësaj Konvente, një bashkëpunim sa më të gjërë gjyqësor në çdo rast procedimi që lidhet me krimet në të cilat shtrëngimi është, që nga momenti në të cilin është kërkuar ndihma, kompetencë e autoriteteve gjyqësore të palës kërkuese.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Kjo Konventë nuk zbatohet as gjatë ekzekutimit të masës së arrestit dhe të dënimeve dhe as për krimet ushtarake që nuk përbëjnë krime të së drejtës së përgjithshme.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Ndihma juridike mund të </w:t>
      </w:r>
      <w:proofErr w:type="gramStart"/>
      <w:r w:rsidRPr="00A7060A">
        <w:rPr>
          <w:rFonts w:ascii="Garamond" w:hAnsi="Garamond"/>
          <w:sz w:val="24"/>
          <w:szCs w:val="24"/>
        </w:rPr>
        <w:t>refuzohet :</w:t>
      </w:r>
      <w:proofErr w:type="gramEnd"/>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a) në qoftë </w:t>
      </w:r>
      <w:proofErr w:type="gramStart"/>
      <w:r w:rsidRPr="00A7060A">
        <w:rPr>
          <w:rFonts w:ascii="Garamond" w:hAnsi="Garamond"/>
          <w:sz w:val="24"/>
          <w:szCs w:val="24"/>
        </w:rPr>
        <w:t>se  kërkesa</w:t>
      </w:r>
      <w:proofErr w:type="gramEnd"/>
      <w:r w:rsidRPr="00A7060A">
        <w:rPr>
          <w:rFonts w:ascii="Garamond" w:hAnsi="Garamond"/>
          <w:sz w:val="24"/>
          <w:szCs w:val="24"/>
        </w:rPr>
        <w:t xml:space="preserve"> i referohet krimeve që pala, së cilës i drejtohet kërkesa i konsideron ose krime politike ose krime që lidhen me krimet politike ose krimet fiskale;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b) në qoftë </w:t>
      </w:r>
      <w:proofErr w:type="gramStart"/>
      <w:r w:rsidRPr="00A7060A">
        <w:rPr>
          <w:rFonts w:ascii="Garamond" w:hAnsi="Garamond"/>
          <w:sz w:val="24"/>
          <w:szCs w:val="24"/>
        </w:rPr>
        <w:t>se  pala</w:t>
      </w:r>
      <w:proofErr w:type="gramEnd"/>
      <w:r w:rsidRPr="00A7060A">
        <w:rPr>
          <w:rFonts w:ascii="Garamond" w:hAnsi="Garamond"/>
          <w:sz w:val="24"/>
          <w:szCs w:val="24"/>
        </w:rPr>
        <w:t>, së cilës i drejtohet kërkesa, mendon se ekzekutimi i kërkesës mund të sjellë paragjykim të sovranitetit, të sigurisë, të rendit publik ose të interesave esenciale të vendit të saj.</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t>TITULLI II</w:t>
      </w:r>
    </w:p>
    <w:p w:rsidR="008F27A4" w:rsidRPr="00A7060A" w:rsidRDefault="008F27A4" w:rsidP="003C6D67">
      <w:pPr>
        <w:pStyle w:val="TitulliNr"/>
        <w:rPr>
          <w:rFonts w:ascii="Garamond" w:hAnsi="Garamond"/>
          <w:sz w:val="24"/>
          <w:szCs w:val="24"/>
        </w:rPr>
      </w:pPr>
      <w:r w:rsidRPr="00A7060A">
        <w:rPr>
          <w:rFonts w:ascii="Garamond" w:hAnsi="Garamond"/>
          <w:sz w:val="24"/>
          <w:szCs w:val="24"/>
        </w:rPr>
        <w:t>LETËRPOROSITË</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3</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lastRenderedPageBreak/>
        <w:t>1. Pala, së cilës i drejtohet kërkesa, do të ekzekutojë, sipas procedurave të parashikuara nga legjislacioni i vendit të saj, letërporositë që lidhen me një procedim penal që do t’i drejtohen asaj nga autoritetet gjyqësore të palës kërkuese dhe që kanë për objekt përmbushjen e akteve hetimore ose të kalimit të provave materiale që lidhen me veprën penale përkatëse, të fashikujve ose të dokumenteve.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2. Në qoftë </w:t>
      </w:r>
      <w:proofErr w:type="gramStart"/>
      <w:r w:rsidRPr="00A7060A">
        <w:rPr>
          <w:rFonts w:ascii="Garamond" w:hAnsi="Garamond"/>
          <w:sz w:val="24"/>
          <w:szCs w:val="24"/>
        </w:rPr>
        <w:t>se  pala</w:t>
      </w:r>
      <w:proofErr w:type="gramEnd"/>
      <w:r w:rsidRPr="00A7060A">
        <w:rPr>
          <w:rFonts w:ascii="Garamond" w:hAnsi="Garamond"/>
          <w:sz w:val="24"/>
          <w:szCs w:val="24"/>
        </w:rPr>
        <w:t xml:space="preserve"> kërkuese dëshiron që dëshmitarët ose ekspertët të deponojnë pas një betimi paraprak, ajo duhet të bëjë një kërkesë me shkrim dhe, pala, së cilës i është drejtuar kërkesa, do të verifikojë nëse ligji i saj e lejon një gjë të tillë ose jo.</w:t>
      </w:r>
    </w:p>
    <w:p w:rsidR="003C6D67" w:rsidRPr="00A7060A" w:rsidRDefault="003C6D67"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3. Pala, së cilësi drejtohet kërkesa, nuk mund të transferojë (ose do të kufizohet për të transferuar) kopje të thjeshta ose fotokopje të fashikujve ose të dokumenteve të kërkuara, të cilat janë të pajisura me vërtetim të barazvlefshëm me origjinalin. Megjithatë, në qoftë </w:t>
      </w:r>
      <w:proofErr w:type="gramStart"/>
      <w:r w:rsidRPr="00A7060A">
        <w:rPr>
          <w:rFonts w:ascii="Garamond" w:hAnsi="Garamond"/>
          <w:sz w:val="24"/>
          <w:szCs w:val="24"/>
        </w:rPr>
        <w:t>se  pala</w:t>
      </w:r>
      <w:proofErr w:type="gramEnd"/>
      <w:r w:rsidRPr="00A7060A">
        <w:rPr>
          <w:rFonts w:ascii="Garamond" w:hAnsi="Garamond"/>
          <w:sz w:val="24"/>
          <w:szCs w:val="24"/>
        </w:rPr>
        <w:t xml:space="preserve"> kërkuese kërkon shprehimisht transferimin e dokumenteve origjinale, një kërkesë e tillë duhet, brenda kufijve të mundshëm, të pranohet.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4</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Në qoftë se pala kërkuese e kërkon shprehimisht, pala, së cilës i drejtohet kërkesa, duhet të njoftojë për datën dhe vendin e ekzekutimit të letërporosisë. Autoritetet dhe personat në çështje mund të ndihmojë gjatë këtij ekzekutimi në qoftë </w:t>
      </w:r>
      <w:proofErr w:type="gramStart"/>
      <w:r w:rsidRPr="00A7060A">
        <w:rPr>
          <w:rFonts w:ascii="Garamond" w:hAnsi="Garamond"/>
          <w:sz w:val="24"/>
          <w:szCs w:val="24"/>
        </w:rPr>
        <w:t>se  pala</w:t>
      </w:r>
      <w:proofErr w:type="gramEnd"/>
      <w:r w:rsidRPr="00A7060A">
        <w:rPr>
          <w:rFonts w:ascii="Garamond" w:hAnsi="Garamond"/>
          <w:sz w:val="24"/>
          <w:szCs w:val="24"/>
        </w:rPr>
        <w:t>, së cilës i drejtohet kërkesa, do t’ua lejojë.</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5</w:t>
      </w:r>
    </w:p>
    <w:p w:rsidR="008F27A4" w:rsidRPr="00A7060A" w:rsidRDefault="008F27A4" w:rsidP="003C6D67">
      <w:pPr>
        <w:pStyle w:val="NeniNr"/>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1. Secila nga palët kontraktuese mundet që, në momentin e firmosjes së kësaj Konvente </w:t>
      </w:r>
      <w:proofErr w:type="gramStart"/>
      <w:r w:rsidRPr="00A7060A">
        <w:rPr>
          <w:rFonts w:ascii="Garamond" w:hAnsi="Garamond"/>
          <w:sz w:val="24"/>
          <w:szCs w:val="24"/>
        </w:rPr>
        <w:t>ose  të</w:t>
      </w:r>
      <w:proofErr w:type="gramEnd"/>
      <w:r w:rsidRPr="00A7060A">
        <w:rPr>
          <w:rFonts w:ascii="Garamond" w:hAnsi="Garamond"/>
          <w:sz w:val="24"/>
          <w:szCs w:val="24"/>
        </w:rPr>
        <w:t xml:space="preserve"> depozitimit të instrumenteve të ratifikimit ose të pranimit, me deklarimin direkt Sekretarit të Përgjithshëm të Këshillit të Europës, të rezervojë mundësinë për të vënë ekzekutimin e letërporosive që kanë për qëllim kontrollimin e sendeve   të njërës ose të më shumë kushteve të mëposhtme: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a) Krimi, i cili motivon letërporosinë duhet të jetë i dënueshëm sipas ligjit të palës kërkuese dhe të palës e cila pranon kërkesën;</w:t>
      </w:r>
    </w:p>
    <w:p w:rsidR="008F27A4" w:rsidRPr="00A7060A" w:rsidRDefault="008F27A4" w:rsidP="008F27A4">
      <w:pPr>
        <w:pStyle w:val="Paragrafi"/>
        <w:rPr>
          <w:rFonts w:ascii="Garamond" w:hAnsi="Garamond"/>
          <w:sz w:val="24"/>
          <w:szCs w:val="24"/>
        </w:rPr>
      </w:pPr>
      <w:r w:rsidRPr="00A7060A">
        <w:rPr>
          <w:rFonts w:ascii="Garamond" w:hAnsi="Garamond"/>
          <w:sz w:val="24"/>
          <w:szCs w:val="24"/>
        </w:rPr>
        <w:t>b) krimi, i cili motivon letërporosinë duhet të jetë i tillë që të lejojë ekstradimin në vendin ku drejtohet kërkesa;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c) ekzekutimi i letërporosive duhet të jetë në përputhje me ligjin e palës së cilës i drejtohet kërkesa.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Atëherë kur njëra nga palët kontraktuese ka bërë një deklaratë në kuptim të paragrafit të parë të këtij neni, çdo palë tjetër mund të aplikojë parimin e reciprocitetit.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6</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Pala, së cilës i drejtohet kërkesa, mund të shtyjë pranimin e objekteve, fashikujve ose të akteve për të cilat është kërkuar komunikimi, kurdoherë që këta të jenë të nevojshëm për një procedim penal në proces.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Objektet, për më tepër edhe origjinalet e fashikujve dhe të dokumenteve, që janë dhënë gjatë komunikimit në ekzekutimin e një letërporosie, do të kthehen nga pala kërkuese menjëherë palës së cilës i drejtohet kërkesa, përveç se kur kjo e fundit do të heqë dorë.</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lastRenderedPageBreak/>
        <w:t>TITULLI III</w:t>
      </w:r>
    </w:p>
    <w:p w:rsidR="008F27A4" w:rsidRPr="00A7060A" w:rsidRDefault="008F27A4" w:rsidP="003C6D67">
      <w:pPr>
        <w:pStyle w:val="TitulliTitull"/>
        <w:rPr>
          <w:rFonts w:ascii="Garamond" w:hAnsi="Garamond"/>
          <w:sz w:val="24"/>
          <w:szCs w:val="24"/>
        </w:rPr>
      </w:pPr>
      <w:r w:rsidRPr="00A7060A">
        <w:rPr>
          <w:rFonts w:ascii="Garamond" w:hAnsi="Garamond"/>
          <w:sz w:val="24"/>
          <w:szCs w:val="24"/>
        </w:rPr>
        <w:t>PRANIMI I AKTEVE PROCEDURIALE DHE TË MASAVE</w:t>
      </w:r>
      <w:r w:rsidR="003C6D67" w:rsidRPr="00A7060A">
        <w:rPr>
          <w:rFonts w:ascii="Garamond" w:hAnsi="Garamond"/>
          <w:sz w:val="24"/>
          <w:szCs w:val="24"/>
        </w:rPr>
        <w:t xml:space="preserve"> </w:t>
      </w:r>
      <w:r w:rsidRPr="00A7060A">
        <w:rPr>
          <w:rFonts w:ascii="Garamond" w:hAnsi="Garamond"/>
          <w:sz w:val="24"/>
          <w:szCs w:val="24"/>
        </w:rPr>
        <w:t>PARAPRAKE GJYQËSORE, DALJA E DËSHMITARËVE,</w:t>
      </w:r>
      <w:r w:rsidR="003C6D67" w:rsidRPr="00A7060A">
        <w:rPr>
          <w:rFonts w:ascii="Garamond" w:hAnsi="Garamond"/>
          <w:sz w:val="24"/>
          <w:szCs w:val="24"/>
        </w:rPr>
        <w:t xml:space="preserve"> </w:t>
      </w:r>
      <w:r w:rsidRPr="00A7060A">
        <w:rPr>
          <w:rFonts w:ascii="Garamond" w:hAnsi="Garamond"/>
          <w:sz w:val="24"/>
          <w:szCs w:val="24"/>
        </w:rPr>
        <w:t>EKSPERTËVE DHE PERSONAVE QË I NËNSHTROHEN</w:t>
      </w:r>
      <w:r w:rsidR="003C6D67" w:rsidRPr="00A7060A">
        <w:rPr>
          <w:rFonts w:ascii="Garamond" w:hAnsi="Garamond"/>
          <w:sz w:val="24"/>
          <w:szCs w:val="24"/>
        </w:rPr>
        <w:t xml:space="preserve"> </w:t>
      </w:r>
      <w:r w:rsidRPr="00A7060A">
        <w:rPr>
          <w:rFonts w:ascii="Garamond" w:hAnsi="Garamond"/>
          <w:sz w:val="24"/>
          <w:szCs w:val="24"/>
        </w:rPr>
        <w:t>NJË PROCESI PENAL</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7</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1. Pala, së cilës i është drejtuar kërkesa, do të procedojë në pranimin e akteve proceduriale dhe të masave paraprake gjyqësore, të cilat i janë </w:t>
      </w:r>
      <w:proofErr w:type="gramStart"/>
      <w:r w:rsidRPr="00A7060A">
        <w:rPr>
          <w:rFonts w:ascii="Garamond" w:hAnsi="Garamond"/>
          <w:sz w:val="24"/>
          <w:szCs w:val="24"/>
        </w:rPr>
        <w:t>dërguar  për</w:t>
      </w:r>
      <w:proofErr w:type="gramEnd"/>
      <w:r w:rsidRPr="00A7060A">
        <w:rPr>
          <w:rFonts w:ascii="Garamond" w:hAnsi="Garamond"/>
          <w:sz w:val="24"/>
          <w:szCs w:val="24"/>
        </w:rPr>
        <w:t xml:space="preserve"> këtë qëllim nga pala kërkuese.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Një pranim i tillë do të realizohet nëpërmjet një tansferimi të thjeshtë të aktit dhe të masës paraprake marrësit. Kurdoherë që Pala së cilës i drejtohet kërkesa shprehimisht do të kërkojë, pranimi do të realizohet në njërën nga format që legjislacioni i palës së cilës i drejtohet kërkesa, parashikon për notifikimet të së njëjtës natyrë ose në një formë të veçantë që të jetë në përputhje me legjislacionin përkatës.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Prova e pranimit do të bëhet nëpërmjet një dëftese në të cilën është vendosur data dhe është firmosur nga destinatori ose nëpërmjet një deklarate të palës së cilës i drejtohet kërkesa që përcakton faktin, mënyrat dhe datën e pranimit. Njëri ose tjetri nga këto dokumente do të jetë menjëherë i transferueshëm Palës kërkuese. Me kërkesë të kësaj të fundit, Pala së cilës i drejtohet kërkesa duhet të saktësojë nëse pranimi është bërë me ligjin e saj. Nëse pranimi nuk është bërë i mundur, pala, së cilës i është drejtuar kërkesa, duhet t’i bëjë menjëherë të ditur motivin e mospranimit palës kërkuese.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Secila nga palët kontraktuese mundet që, në momentin e firmosjes së kësaj Konvente ose të depozitimit të instrumenteve të ratifikimit ose të pranimit, të kërkojë, nëpërmjet një deklarate të drejtuar Sekretarit të Përgjithshëm të Këshillit të Europës, që letërthirrja për t’u paraqitur në gjyq, personit që i është nënshtruar një procedimi penal dhe që gjendet në territorin e tij duhet t’i transferohet autoriteteve kompetente brenda një afati të caktuar përpara datës së caktuar për t’u paraqitur në gjyq. Ky afat do të jetë i përcaktuar në një deklaratë të caktuar dhe nuk mund t’i kapërcejë 50 ditët.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Për caktimin e një afati të tillë do të kihet parasysh data e paraqitjes në gjyq dhe momenti i transferimit të letërthirrjes.</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8</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Dëshmitari apo eksperti që nuk do të respektojë paraqitjen në gjyq sipas një letërthirrjeje, e cila i është dërguar, nuk mund të vihet nën ndonjë masë shtrënguese apo sanksione edhe në qoftë se letërthirrja përmban urdhrat, vetëm në qoftë </w:t>
      </w:r>
      <w:proofErr w:type="gramStart"/>
      <w:r w:rsidRPr="00A7060A">
        <w:rPr>
          <w:rFonts w:ascii="Garamond" w:hAnsi="Garamond"/>
          <w:sz w:val="24"/>
          <w:szCs w:val="24"/>
        </w:rPr>
        <w:t>se  ai</w:t>
      </w:r>
      <w:proofErr w:type="gramEnd"/>
      <w:r w:rsidRPr="00A7060A">
        <w:rPr>
          <w:rFonts w:ascii="Garamond" w:hAnsi="Garamond"/>
          <w:sz w:val="24"/>
          <w:szCs w:val="24"/>
        </w:rPr>
        <w:t xml:space="preserve"> do të hyjë vullnetarisht në territorin e palës kërkuese dhe ai do të njoftohet sërish në mënyrë të rregullt.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9</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Kompensimet (dëmshpërblimi) që do të derdhen, përveç shpenzimeve të udhëtimit dhe të qëndrimit që pala kërkuese duhet të rimbursojë në favor të dëshmitarit apo të ekspertit, duhet të jenë të llogaritura nga vendi i rezidencës së tyre dhe do të likuidohen në një masë të njëjtë me atë të parashikuar nga </w:t>
      </w:r>
      <w:proofErr w:type="gramStart"/>
      <w:r w:rsidRPr="00A7060A">
        <w:rPr>
          <w:rFonts w:ascii="Garamond" w:hAnsi="Garamond"/>
          <w:sz w:val="24"/>
          <w:szCs w:val="24"/>
        </w:rPr>
        <w:t>tarifat  dhe</w:t>
      </w:r>
      <w:proofErr w:type="gramEnd"/>
      <w:r w:rsidRPr="00A7060A">
        <w:rPr>
          <w:rFonts w:ascii="Garamond" w:hAnsi="Garamond"/>
          <w:sz w:val="24"/>
          <w:szCs w:val="24"/>
        </w:rPr>
        <w:t xml:space="preserve"> rregulloret në fuqi në vendin ku ata duhet të pyeten.</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10</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lastRenderedPageBreak/>
        <w:t xml:space="preserve">1. Në qoftë </w:t>
      </w:r>
      <w:proofErr w:type="gramStart"/>
      <w:r w:rsidRPr="00A7060A">
        <w:rPr>
          <w:rFonts w:ascii="Garamond" w:hAnsi="Garamond"/>
          <w:sz w:val="24"/>
          <w:szCs w:val="24"/>
        </w:rPr>
        <w:t>se  pala</w:t>
      </w:r>
      <w:proofErr w:type="gramEnd"/>
      <w:r w:rsidRPr="00A7060A">
        <w:rPr>
          <w:rFonts w:ascii="Garamond" w:hAnsi="Garamond"/>
          <w:sz w:val="24"/>
          <w:szCs w:val="24"/>
        </w:rPr>
        <w:t xml:space="preserve"> kërkuese pretendon se paraqitja vetjake e një dëshmitari apo e një eksperti përpara autoriteteve të saj gjyqësore është veçanërisht e nevojshme, ajo duhet ta përmendi si fakt në kërkesën e pranimit të letërthirrjes dhe pala, së cilës i drejtohet kërkesa, do të ftojë këtë dëshmitar apo ekspert të paraqitet në gjyq.</w:t>
      </w:r>
    </w:p>
    <w:p w:rsidR="008F27A4" w:rsidRPr="00A7060A" w:rsidRDefault="008F27A4" w:rsidP="008F27A4">
      <w:pPr>
        <w:pStyle w:val="Paragrafi"/>
        <w:rPr>
          <w:rFonts w:ascii="Garamond" w:hAnsi="Garamond"/>
          <w:sz w:val="24"/>
          <w:szCs w:val="24"/>
        </w:rPr>
      </w:pPr>
      <w:r w:rsidRPr="00A7060A">
        <w:rPr>
          <w:rFonts w:ascii="Garamond" w:hAnsi="Garamond"/>
          <w:sz w:val="24"/>
          <w:szCs w:val="24"/>
        </w:rPr>
        <w:t>Pala, së cilës i drejtohet kërkesa, duhet të bëjë të njohur përgjigjen e dëshmitarit apo të ekspertit palës kërkuese.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Në rastin e parashikuar në paragrafin e parë të këtij neni kërkesa ose letërthirrja duhet të përmendi shprehimisht shumën e përafërt të kompensimit (dëmshpërblimit) që duhet të korrespondojë edhe me shpenzimet e udhëtimit dhe të qëndrimit, të cilat duhet të rimbursohen.</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3. Pala, së cilës i është drejtuar kërkesa, me një qëllim të tillë mund t’i japë dëshmitarit apo </w:t>
      </w:r>
      <w:proofErr w:type="gramStart"/>
      <w:r w:rsidRPr="00A7060A">
        <w:rPr>
          <w:rFonts w:ascii="Garamond" w:hAnsi="Garamond"/>
          <w:sz w:val="24"/>
          <w:szCs w:val="24"/>
        </w:rPr>
        <w:t>ekspertit  një</w:t>
      </w:r>
      <w:proofErr w:type="gramEnd"/>
      <w:r w:rsidRPr="00A7060A">
        <w:rPr>
          <w:rFonts w:ascii="Garamond" w:hAnsi="Garamond"/>
          <w:sz w:val="24"/>
          <w:szCs w:val="24"/>
        </w:rPr>
        <w:t xml:space="preserve"> paradhënie (parapagesë). Kjo do të bëhet e ditur në letërthirrjen dhe të rimbursohet nga pala kërkuese.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11</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Atëherë kur pala kërkuese për të dëshmuar ose ballafaqim </w:t>
      </w:r>
      <w:proofErr w:type="gramStart"/>
      <w:r w:rsidRPr="00A7060A">
        <w:rPr>
          <w:rFonts w:ascii="Garamond" w:hAnsi="Garamond"/>
          <w:sz w:val="24"/>
          <w:szCs w:val="24"/>
        </w:rPr>
        <w:t>kërkon  paraqitjen</w:t>
      </w:r>
      <w:proofErr w:type="gramEnd"/>
      <w:r w:rsidRPr="00A7060A">
        <w:rPr>
          <w:rFonts w:ascii="Garamond" w:hAnsi="Garamond"/>
          <w:sz w:val="24"/>
          <w:szCs w:val="24"/>
        </w:rPr>
        <w:t xml:space="preserve"> e një personi, i cili është në gjendje burgimi, ky person do të jetë përkohësisht i transferuar në territorin ku do të zhvillohet pyetja, me kusht që ritransferimi i tij duhet të bëhet në afatin e treguar nga pala së cilës i drejtohet kërkesa dhe me rezervën e dispozitave të nenit 12, në atë masë që këto të fundit do të gjejnë zbatim.</w:t>
      </w:r>
    </w:p>
    <w:p w:rsidR="008F27A4" w:rsidRPr="00A7060A" w:rsidRDefault="008F27A4" w:rsidP="008F27A4">
      <w:pPr>
        <w:pStyle w:val="Paragrafi"/>
        <w:rPr>
          <w:rFonts w:ascii="Garamond" w:hAnsi="Garamond"/>
          <w:sz w:val="24"/>
          <w:szCs w:val="24"/>
        </w:rPr>
      </w:pPr>
      <w:r w:rsidRPr="00A7060A">
        <w:rPr>
          <w:rFonts w:ascii="Garamond" w:hAnsi="Garamond"/>
          <w:sz w:val="24"/>
          <w:szCs w:val="24"/>
        </w:rPr>
        <w:t>Transferimi mund edhe të refuzohet: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a) në qoftë </w:t>
      </w:r>
      <w:proofErr w:type="gramStart"/>
      <w:r w:rsidRPr="00A7060A">
        <w:rPr>
          <w:rFonts w:ascii="Garamond" w:hAnsi="Garamond"/>
          <w:sz w:val="24"/>
          <w:szCs w:val="24"/>
        </w:rPr>
        <w:t>se  personi</w:t>
      </w:r>
      <w:proofErr w:type="gramEnd"/>
      <w:r w:rsidRPr="00A7060A">
        <w:rPr>
          <w:rFonts w:ascii="Garamond" w:hAnsi="Garamond"/>
          <w:sz w:val="24"/>
          <w:szCs w:val="24"/>
        </w:rPr>
        <w:t xml:space="preserve"> i dënuar nuk do të pranojë;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b) në qoftë </w:t>
      </w:r>
      <w:proofErr w:type="gramStart"/>
      <w:r w:rsidRPr="00A7060A">
        <w:rPr>
          <w:rFonts w:ascii="Garamond" w:hAnsi="Garamond"/>
          <w:sz w:val="24"/>
          <w:szCs w:val="24"/>
        </w:rPr>
        <w:t>se  prania</w:t>
      </w:r>
      <w:proofErr w:type="gramEnd"/>
      <w:r w:rsidRPr="00A7060A">
        <w:rPr>
          <w:rFonts w:ascii="Garamond" w:hAnsi="Garamond"/>
          <w:sz w:val="24"/>
          <w:szCs w:val="24"/>
        </w:rPr>
        <w:t xml:space="preserve"> e tij është e nevojshme në një procedim penal që po zhvillohet në territorin e palës, së cilës i drejtohet kërkesa;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c) në qoftë </w:t>
      </w:r>
      <w:proofErr w:type="gramStart"/>
      <w:r w:rsidRPr="00A7060A">
        <w:rPr>
          <w:rFonts w:ascii="Garamond" w:hAnsi="Garamond"/>
          <w:sz w:val="24"/>
          <w:szCs w:val="24"/>
        </w:rPr>
        <w:t>se  transferimi</w:t>
      </w:r>
      <w:proofErr w:type="gramEnd"/>
      <w:r w:rsidRPr="00A7060A">
        <w:rPr>
          <w:rFonts w:ascii="Garamond" w:hAnsi="Garamond"/>
          <w:sz w:val="24"/>
          <w:szCs w:val="24"/>
        </w:rPr>
        <w:t xml:space="preserve"> i tij do të zgjaste më tej gjendjen e tij të burgimit;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d) në qoftë </w:t>
      </w:r>
      <w:proofErr w:type="gramStart"/>
      <w:r w:rsidRPr="00A7060A">
        <w:rPr>
          <w:rFonts w:ascii="Garamond" w:hAnsi="Garamond"/>
          <w:sz w:val="24"/>
          <w:szCs w:val="24"/>
        </w:rPr>
        <w:t>se  kërkesa</w:t>
      </w:r>
      <w:proofErr w:type="gramEnd"/>
      <w:r w:rsidRPr="00A7060A">
        <w:rPr>
          <w:rFonts w:ascii="Garamond" w:hAnsi="Garamond"/>
          <w:sz w:val="24"/>
          <w:szCs w:val="24"/>
        </w:rPr>
        <w:t xml:space="preserve"> të tjera imperative bëjnë të domosdoshme transferimin e tij në territorin e palës kërkuese.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Në rastin e parashikuar në paragrafin e mësipërm dhe me rezervën e dispozitave të nenit 2, kalimi tranzit i personit të dënuar nëpërmjet territorit të një shteti të tretë, pala e kësaj Konvente, dhe bazuar mbi një kërkesë, që korredon të gjitha dokumentet e nevojshme, Ministria e Drejtësisë e palës kërkuese i drejton Ministrisë së Drejtësisë së palës së cilës i drejtohet kërkesa për kalim tranziti.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Secila palë kontraktuese mund të refuzojë kalimin tranzit të shtetasve të vet.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3. Personi </w:t>
      </w:r>
      <w:proofErr w:type="gramStart"/>
      <w:r w:rsidRPr="00A7060A">
        <w:rPr>
          <w:rFonts w:ascii="Garamond" w:hAnsi="Garamond"/>
          <w:sz w:val="24"/>
          <w:szCs w:val="24"/>
        </w:rPr>
        <w:t>i  transferuar</w:t>
      </w:r>
      <w:proofErr w:type="gramEnd"/>
      <w:r w:rsidRPr="00A7060A">
        <w:rPr>
          <w:rFonts w:ascii="Garamond" w:hAnsi="Garamond"/>
          <w:sz w:val="24"/>
          <w:szCs w:val="24"/>
        </w:rPr>
        <w:t xml:space="preserve"> duhet të qëndrojë në gjendje burgimi në territorin e palës kërkuese dhe, në rast se në territorin e palës së cilës i drejtohet kërkesa e  tranzitit, vetëm në qoftë se  pala së cilës i drejtohet kërkesa, nuk kërkon që ai të vihet në gjendje lirie.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12</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1. Asnjë dëshmitar apo ekspert, pavarësisht nga kombësia e tij, i cili shfaqet përpara autoriteteve gjyqësore të palës kërkuese, si rrjedhojë e një letërthirrjeje për t’u paraqitur në gjyq, nuk mund të ndiqet penalisht, të mbahet në gjendje arresti ose t’i nënshtrohet ndonjë mase tjetër shtrënguese për lirinë e tij individuale brenda territorit të palës së cilës i është drejtuar kërkesa, për fakte apo dënime që janë kryer përpara nisjes së tij </w:t>
      </w:r>
      <w:proofErr w:type="gramStart"/>
      <w:r w:rsidRPr="00A7060A">
        <w:rPr>
          <w:rFonts w:ascii="Garamond" w:hAnsi="Garamond"/>
          <w:sz w:val="24"/>
          <w:szCs w:val="24"/>
        </w:rPr>
        <w:t>nga  territori</w:t>
      </w:r>
      <w:proofErr w:type="gramEnd"/>
      <w:r w:rsidRPr="00A7060A">
        <w:rPr>
          <w:rFonts w:ascii="Garamond" w:hAnsi="Garamond"/>
          <w:sz w:val="24"/>
          <w:szCs w:val="24"/>
        </w:rPr>
        <w:t xml:space="preserve"> i kësaj pale.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2. Asnjë person pavarësisht nga kombësia e tij, i thirrur përpara autoriteteve gjyqësore të palës kërkuese për t’u përgjigjur atje, për fakte për të cilat i është nënshtruar një procedimi penal, mund të ndiqet penalisht, të mbahet në gjendje burgimi ose t’i nënshtrohet masave të </w:t>
      </w:r>
      <w:r w:rsidRPr="00A7060A">
        <w:rPr>
          <w:rFonts w:ascii="Garamond" w:hAnsi="Garamond"/>
          <w:sz w:val="24"/>
          <w:szCs w:val="24"/>
        </w:rPr>
        <w:lastRenderedPageBreak/>
        <w:t>tjera shtrënguese të lirisë individuale për fakte dhe dënime që janë kryer përpara nisjes së tij nga territori i palës së cilës i është drejtuar kërkesa dhe që nuk përfshihen në letërthirrje.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3. Imuniteti i parashikuar nga ky nen pushon së funksionuari atëherë kur dëshmitari, eksperti apo individi i cili i është nënshtruar një procedimi penal, duke patur mundësinë e lënies së territorit të palës kërkuese për 15 ditë pasuese pasi paraqitja e tij nuk është më e kërkuar nga autoritetet gjyqësore, edhe në qoftë </w:t>
      </w:r>
      <w:proofErr w:type="gramStart"/>
      <w:r w:rsidRPr="00A7060A">
        <w:rPr>
          <w:rFonts w:ascii="Garamond" w:hAnsi="Garamond"/>
          <w:sz w:val="24"/>
          <w:szCs w:val="24"/>
        </w:rPr>
        <w:t>se  ka</w:t>
      </w:r>
      <w:proofErr w:type="gramEnd"/>
      <w:r w:rsidRPr="00A7060A">
        <w:rPr>
          <w:rFonts w:ascii="Garamond" w:hAnsi="Garamond"/>
          <w:sz w:val="24"/>
          <w:szCs w:val="24"/>
        </w:rPr>
        <w:t xml:space="preserve"> ngelur në këtë territor ose ka bërë kthimin pasi është lëshuar.</w:t>
      </w:r>
    </w:p>
    <w:p w:rsidR="008F27A4" w:rsidRPr="00A7060A" w:rsidRDefault="008F27A4" w:rsidP="008F27A4">
      <w:pPr>
        <w:pStyle w:val="Paragrafi"/>
        <w:rPr>
          <w:rFonts w:ascii="Garamond" w:hAnsi="Garamond"/>
          <w:sz w:val="24"/>
          <w:szCs w:val="24"/>
        </w:rPr>
      </w:pPr>
    </w:p>
    <w:p w:rsidR="003C6D67" w:rsidRPr="00A7060A" w:rsidRDefault="003C6D67" w:rsidP="003C6D67">
      <w:pPr>
        <w:pStyle w:val="TitulliNr"/>
        <w:keepNext w:val="0"/>
        <w:rPr>
          <w:rFonts w:ascii="Garamond" w:hAnsi="Garamond"/>
          <w:sz w:val="24"/>
          <w:szCs w:val="24"/>
        </w:rPr>
      </w:pPr>
    </w:p>
    <w:p w:rsidR="003C6D67" w:rsidRPr="00A7060A" w:rsidRDefault="003C6D67" w:rsidP="003C6D67">
      <w:pPr>
        <w:pStyle w:val="TitulliNr"/>
        <w:keepNext w:val="0"/>
        <w:rPr>
          <w:rFonts w:ascii="Garamond" w:hAnsi="Garamond"/>
          <w:sz w:val="24"/>
          <w:szCs w:val="24"/>
        </w:rPr>
      </w:pPr>
    </w:p>
    <w:p w:rsidR="003C6D67" w:rsidRPr="00A7060A" w:rsidRDefault="003C6D67" w:rsidP="003C6D67">
      <w:pPr>
        <w:pStyle w:val="TitulliNr"/>
        <w:keepNext w:val="0"/>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t>TITULLI IV</w:t>
      </w:r>
    </w:p>
    <w:p w:rsidR="008F27A4" w:rsidRPr="00A7060A" w:rsidRDefault="008F27A4" w:rsidP="003C6D67">
      <w:pPr>
        <w:pStyle w:val="TitulliTitull"/>
        <w:rPr>
          <w:rFonts w:ascii="Garamond" w:hAnsi="Garamond"/>
          <w:sz w:val="24"/>
          <w:szCs w:val="24"/>
        </w:rPr>
      </w:pPr>
      <w:r w:rsidRPr="00A7060A">
        <w:rPr>
          <w:rFonts w:ascii="Garamond" w:hAnsi="Garamond"/>
          <w:sz w:val="24"/>
          <w:szCs w:val="24"/>
        </w:rPr>
        <w:t>KARTOTEKA E GJYKATËS</w:t>
      </w:r>
      <w:r w:rsidR="003C6D67" w:rsidRPr="00A7060A">
        <w:rPr>
          <w:rFonts w:ascii="Garamond" w:hAnsi="Garamond"/>
          <w:sz w:val="24"/>
          <w:szCs w:val="24"/>
        </w:rPr>
        <w:t xml:space="preserve"> </w:t>
      </w:r>
      <w:r w:rsidRPr="00A7060A">
        <w:rPr>
          <w:rFonts w:ascii="Garamond" w:hAnsi="Garamond"/>
          <w:sz w:val="24"/>
          <w:szCs w:val="24"/>
        </w:rPr>
        <w:t>(ZYRA E GJENDJES GJYQËSORE)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13</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1.Pala, së cilës i drejtohet kërkesa, do të komunikojë në atë masë në të cilën autoritetet e tyre gjyqësore mundet që nga ana e tyre të mbajnë edhe në një rast tjetër analog, të dhënat e kartotekës së gjykatës ose çfarëdolloj informacioni tjetër që lidhet me ato dhe që autoritetet gjyqësore të njerës nga palët kontraktuese do të kenë kërkuar për </w:t>
      </w:r>
    </w:p>
    <w:p w:rsidR="008F27A4" w:rsidRPr="00A7060A" w:rsidRDefault="008F27A4" w:rsidP="008F27A4">
      <w:pPr>
        <w:pStyle w:val="Paragrafi"/>
        <w:rPr>
          <w:rFonts w:ascii="Garamond" w:hAnsi="Garamond"/>
          <w:sz w:val="24"/>
          <w:szCs w:val="24"/>
        </w:rPr>
      </w:pPr>
      <w:r w:rsidRPr="00A7060A">
        <w:rPr>
          <w:rFonts w:ascii="Garamond" w:hAnsi="Garamond"/>
          <w:sz w:val="24"/>
          <w:szCs w:val="24"/>
        </w:rPr>
        <w:t>nevojat e një procedimi penal.</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2.Në raste të ndryshme nga ata të parashikuar në paragrafin e parë 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këtij neni do të kihen parasysh kërkesa të tilla në kushtet e parashikuara nga legjislacioni, regolamentet ose nga praktika e palës, së cilës i drejtohet kërkesa.</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proofErr w:type="gramStart"/>
      <w:r w:rsidRPr="00A7060A">
        <w:rPr>
          <w:rFonts w:ascii="Garamond" w:hAnsi="Garamond"/>
          <w:sz w:val="24"/>
          <w:szCs w:val="24"/>
        </w:rPr>
        <w:t>TITULLI  V</w:t>
      </w:r>
      <w:proofErr w:type="gramEnd"/>
    </w:p>
    <w:p w:rsidR="008F27A4" w:rsidRPr="00A7060A" w:rsidRDefault="008F27A4" w:rsidP="003C6D67">
      <w:pPr>
        <w:pStyle w:val="TitulliTitull"/>
        <w:rPr>
          <w:rFonts w:ascii="Garamond" w:hAnsi="Garamond"/>
          <w:sz w:val="24"/>
          <w:szCs w:val="24"/>
        </w:rPr>
      </w:pPr>
      <w:r w:rsidRPr="00A7060A">
        <w:rPr>
          <w:rFonts w:ascii="Garamond" w:hAnsi="Garamond"/>
          <w:sz w:val="24"/>
          <w:szCs w:val="24"/>
        </w:rPr>
        <w:t>PROCEDURA</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14</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Kërkesat e ndihmës gjyqësore duhet të përmbajnë treguesit e mëposhtëm:</w:t>
      </w:r>
    </w:p>
    <w:p w:rsidR="008F27A4" w:rsidRPr="00A7060A" w:rsidRDefault="008F27A4" w:rsidP="008F27A4">
      <w:pPr>
        <w:pStyle w:val="Paragrafi"/>
        <w:rPr>
          <w:rFonts w:ascii="Garamond" w:hAnsi="Garamond"/>
          <w:sz w:val="24"/>
          <w:szCs w:val="24"/>
        </w:rPr>
      </w:pPr>
      <w:r w:rsidRPr="00A7060A">
        <w:rPr>
          <w:rFonts w:ascii="Garamond" w:hAnsi="Garamond"/>
          <w:sz w:val="24"/>
          <w:szCs w:val="24"/>
        </w:rPr>
        <w:t>a) autoritetin nga i cili ka ardhur kërkesa,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b) objektin dhe motivin e kërkesës, </w:t>
      </w:r>
    </w:p>
    <w:p w:rsidR="008F27A4" w:rsidRPr="00A7060A" w:rsidRDefault="008F27A4" w:rsidP="008F27A4">
      <w:pPr>
        <w:pStyle w:val="Paragrafi"/>
        <w:rPr>
          <w:rFonts w:ascii="Garamond" w:hAnsi="Garamond"/>
          <w:sz w:val="24"/>
          <w:szCs w:val="24"/>
        </w:rPr>
      </w:pPr>
      <w:r w:rsidRPr="00A7060A">
        <w:rPr>
          <w:rFonts w:ascii="Garamond" w:hAnsi="Garamond"/>
          <w:sz w:val="24"/>
          <w:szCs w:val="24"/>
        </w:rPr>
        <w:t>c) për sa është e mundur, identitetin dhe kombësinë e personit në çështje dhe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d) në qoftë </w:t>
      </w:r>
      <w:proofErr w:type="gramStart"/>
      <w:r w:rsidRPr="00A7060A">
        <w:rPr>
          <w:rFonts w:ascii="Garamond" w:hAnsi="Garamond"/>
          <w:sz w:val="24"/>
          <w:szCs w:val="24"/>
        </w:rPr>
        <w:t>se  është</w:t>
      </w:r>
      <w:proofErr w:type="gramEnd"/>
      <w:r w:rsidRPr="00A7060A">
        <w:rPr>
          <w:rFonts w:ascii="Garamond" w:hAnsi="Garamond"/>
          <w:sz w:val="24"/>
          <w:szCs w:val="24"/>
        </w:rPr>
        <w:t xml:space="preserve"> e mundur emrin dhe adresën e marrësit (destinatorit).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Letërporositë e parashikuara në nenet 3, 4 dhe 5 do të përmendin gjithashtu, përveç akuzës edhe një paraqitje të përmbledhur të fakteve.</w:t>
      </w:r>
    </w:p>
    <w:p w:rsidR="003C6D67" w:rsidRPr="00A7060A" w:rsidRDefault="003C6D67" w:rsidP="003C6D67">
      <w:pPr>
        <w:pStyle w:val="NeniNr"/>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15</w:t>
      </w:r>
    </w:p>
    <w:p w:rsidR="008F27A4" w:rsidRPr="00A7060A" w:rsidRDefault="008F27A4" w:rsidP="003C6D67">
      <w:pPr>
        <w:pStyle w:val="NeniNr"/>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Letërporositë, për të cilat nenet 3, 4 dhe 5, si edhe kërkesat e parashikuara në nenin 11, do të drejtohen nga Ministria e Drejtësisë e palës kërkuese tek Ministria e Drejtësisë e Palës, së cilës i është drejtuar kërkesa dhe do të kthehet nëpërmjet të njëjtës rrugë.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Në rast urgjence, këto letërporosi mund të dërgohen edhe drejtpërsëdrejti nga autoritetet gjyqësore të palës kërkuese, autoriteteve gjyqësore të palës së cilës i drejtohet kërkesa. Ato duhet të kthehen së bashku me dokumentat që lidhen me ekzekutimin e tyre sipas mënyrës së parashikuar në paragrafin e parë të këtij neni.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3. Kërkesat, për të cilat paragrafi i parë i nenit 13, mund të dërgohen drejtëpërdrejtë </w:t>
      </w:r>
      <w:r w:rsidRPr="00A7060A">
        <w:rPr>
          <w:rFonts w:ascii="Garamond" w:hAnsi="Garamond"/>
          <w:sz w:val="24"/>
          <w:szCs w:val="24"/>
        </w:rPr>
        <w:lastRenderedPageBreak/>
        <w:t xml:space="preserve">nga autoritetet gjyqësore në zyrën kompetente të palës së cilës i drejtohet kërkesa dhe </w:t>
      </w:r>
      <w:proofErr w:type="gramStart"/>
      <w:r w:rsidRPr="00A7060A">
        <w:rPr>
          <w:rFonts w:ascii="Garamond" w:hAnsi="Garamond"/>
          <w:sz w:val="24"/>
          <w:szCs w:val="24"/>
        </w:rPr>
        <w:t>përgjigjet  do</w:t>
      </w:r>
      <w:proofErr w:type="gramEnd"/>
      <w:r w:rsidRPr="00A7060A">
        <w:rPr>
          <w:rFonts w:ascii="Garamond" w:hAnsi="Garamond"/>
          <w:sz w:val="24"/>
          <w:szCs w:val="24"/>
        </w:rPr>
        <w:t xml:space="preserve"> të dërgohen nëpërmjet kësaj zyre. Kërkesat, për të cilat paragrafi i dytë i nenit 13, do të dërgohen nga Ministria e Drejtësisë Palës kërkuese Ministrisë së Drejtësisë të palës së cilës i drejtohet kërkesa.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4. Kërkesat për ndihmë juridike, të ndryshme nga ato të parashikuara nga paragrafi i tretë i këtij neni, ose në veçanti kërkesat për hetime paraprake për një proces penal, mund të jenë objekt komunikimi të </w:t>
      </w:r>
      <w:proofErr w:type="gramStart"/>
      <w:r w:rsidRPr="00A7060A">
        <w:rPr>
          <w:rFonts w:ascii="Garamond" w:hAnsi="Garamond"/>
          <w:sz w:val="24"/>
          <w:szCs w:val="24"/>
        </w:rPr>
        <w:t>drejtëpërdrejtë  nga</w:t>
      </w:r>
      <w:proofErr w:type="gramEnd"/>
      <w:r w:rsidRPr="00A7060A">
        <w:rPr>
          <w:rFonts w:ascii="Garamond" w:hAnsi="Garamond"/>
          <w:sz w:val="24"/>
          <w:szCs w:val="24"/>
        </w:rPr>
        <w:t xml:space="preserve"> autoritetet gjyqësore.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5. Në rastet kur transferimi direkt është i lejueshëm nga kjo Konventë, ajo mund të bëhet nëpërmjet Organizatës Ndërkombëtare </w:t>
      </w:r>
      <w:proofErr w:type="gramStart"/>
      <w:r w:rsidRPr="00A7060A">
        <w:rPr>
          <w:rFonts w:ascii="Garamond" w:hAnsi="Garamond"/>
          <w:sz w:val="24"/>
          <w:szCs w:val="24"/>
        </w:rPr>
        <w:t>të  Policisë</w:t>
      </w:r>
      <w:proofErr w:type="gramEnd"/>
      <w:r w:rsidRPr="00A7060A">
        <w:rPr>
          <w:rFonts w:ascii="Garamond" w:hAnsi="Garamond"/>
          <w:sz w:val="24"/>
          <w:szCs w:val="24"/>
        </w:rPr>
        <w:t xml:space="preserve"> Kriminale (Interpol).</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6. Secila palë </w:t>
      </w:r>
      <w:proofErr w:type="gramStart"/>
      <w:r w:rsidRPr="00A7060A">
        <w:rPr>
          <w:rFonts w:ascii="Garamond" w:hAnsi="Garamond"/>
          <w:sz w:val="24"/>
          <w:szCs w:val="24"/>
        </w:rPr>
        <w:t>kontraktuese  mundet</w:t>
      </w:r>
      <w:proofErr w:type="gramEnd"/>
      <w:r w:rsidRPr="00A7060A">
        <w:rPr>
          <w:rFonts w:ascii="Garamond" w:hAnsi="Garamond"/>
          <w:sz w:val="24"/>
          <w:szCs w:val="24"/>
        </w:rPr>
        <w:t xml:space="preserve"> që, në aktin e firmosjes së kësaj konvente ose  në rastin e depozitimit të instrumenteve të ratifikimit ose të pranimit, me deklaratën drejtuar Sekretarit të Përgjithshëm të Këshillit të Europës, bën të ditur nëse të gjitha ose disa kërkesa të ndihmës juridike duhet të jenë……………. nëpërmjet një rruge të ndryshme nga ajo të parashikuar në këtë nen, dhe të kërkojë që, në bazë të paragrafit të dytë të këtij neni, një kopje të letërporosisë duhet t’ komunikohet në të njëjtën kohë Ministrisë së saj të Drejtësisë.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7. Ky nen nuk paragjykon dispozitat lidhur me marrëveshjet (traktatet bilaterale) në fuqi ndërmjet palëve kontraktuese, në të cilat është parashikuar transferimi i drejtëpërdrejtë i kërkesave për ndihmë juridike ndërmjet autoriteteve të palëve.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16</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1.Përkthimi i kërkesave dhe i akteve bashkangjitur me to nuk do 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jetë i detyrueshëm, me përjashtim të rasteve të përmendura në dispozitat e paragrafit të dytë të këtij neni.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Secila nga palët kontraktuese mundet që, në aktin e firmosjes ose të depozitimit të instrumenteve të ratifikimit ose të pranimit, me deklaratë drejtuar Sekretarit të Përgjithshëm të Këshillit të Europës, duke rezervuar mundësinë për të kërkuar që kërkesat dhe katet e tjera bashkëngjitur duhet të transferohen të shoqëruar nga ajo qoftë nga një përkthim në gjuhën e vet qoftë edhe nga një përkthim në cilëndo nga gjuhët zyrtare të Këshillit të Europës (frengjisht, anglisht), ose në atë gjuhë që pala do të kërkojë. Palët e tjera mund të aplikojnë parimin e reciprocitetit.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3. Ky nen nuk do të paragjykojë dispozitat që lidhen me përkthimin e kërkesave dhe të </w:t>
      </w:r>
      <w:proofErr w:type="gramStart"/>
      <w:r w:rsidRPr="00A7060A">
        <w:rPr>
          <w:rFonts w:ascii="Garamond" w:hAnsi="Garamond"/>
          <w:sz w:val="24"/>
          <w:szCs w:val="24"/>
        </w:rPr>
        <w:t>akteve  që</w:t>
      </w:r>
      <w:proofErr w:type="gramEnd"/>
      <w:r w:rsidRPr="00A7060A">
        <w:rPr>
          <w:rFonts w:ascii="Garamond" w:hAnsi="Garamond"/>
          <w:sz w:val="24"/>
          <w:szCs w:val="24"/>
        </w:rPr>
        <w:t xml:space="preserve"> u bashkëngjiten dhe që përmbahen në konventat ose në marrëveshjet në fuqi ose që do të nënshkruhen ndërmjet dy ose më shumë palëve kontraktuese.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17</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Aktet dhe dokumentet, që transferohen në zbatim të kësaj konvente, do të jenë të përjashtuara nga çdo formalitet legalizimi.</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18</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Në qoftë </w:t>
      </w:r>
      <w:proofErr w:type="gramStart"/>
      <w:r w:rsidRPr="00A7060A">
        <w:rPr>
          <w:rFonts w:ascii="Garamond" w:hAnsi="Garamond"/>
          <w:sz w:val="24"/>
          <w:szCs w:val="24"/>
        </w:rPr>
        <w:t>se  autoritetet</w:t>
      </w:r>
      <w:proofErr w:type="gramEnd"/>
      <w:r w:rsidRPr="00A7060A">
        <w:rPr>
          <w:rFonts w:ascii="Garamond" w:hAnsi="Garamond"/>
          <w:sz w:val="24"/>
          <w:szCs w:val="24"/>
        </w:rPr>
        <w:t xml:space="preserve"> e investuara me një kërkesë për ndihmë juridike janë inkompetente për ta ndjekur, ata do të transferojnë zyrtarisht një kërkesë të tillë autoritetit kompetent të vendit përkatës dhe, atëherë kur kërkesa do të jetë transferuar drejtëpërsëdrejti, do të njoftojnë në të njëjtën rrugë (mënyrë) palën kërkuese.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lastRenderedPageBreak/>
        <w:t>Neni 19</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Çdo refuzim për të dhënë ndihmë juridike duhet të jetë i motivuar.</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20</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Përveç dispozitave të nenit 9, ekzekutimi i kërkesave të ndihmës juridike nuk do të bëhet asnjë rimbursim i shpenzimeve me përjashtim të atyre të provokuara nga ekspertët në territorin nga ana e palës së cilës i drejtohet kërkesa dhe nga transferimi i të dënuarve i realizuar në zbatim të nenit 11.</w:t>
      </w:r>
    </w:p>
    <w:p w:rsidR="008F27A4" w:rsidRPr="00A7060A" w:rsidRDefault="008F27A4"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3C6D67" w:rsidRPr="00A7060A" w:rsidRDefault="003C6D67"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t>TITULLI VI</w:t>
      </w:r>
    </w:p>
    <w:p w:rsidR="008F27A4" w:rsidRPr="00A7060A" w:rsidRDefault="008F27A4" w:rsidP="003C6D67">
      <w:pPr>
        <w:pStyle w:val="TitulliTitull"/>
        <w:rPr>
          <w:rFonts w:ascii="Garamond" w:hAnsi="Garamond"/>
          <w:sz w:val="24"/>
          <w:szCs w:val="24"/>
        </w:rPr>
      </w:pPr>
      <w:r w:rsidRPr="00A7060A">
        <w:rPr>
          <w:rFonts w:ascii="Garamond" w:hAnsi="Garamond"/>
          <w:sz w:val="24"/>
          <w:szCs w:val="24"/>
        </w:rPr>
        <w:t>DENONCIMET ME QËLLIM PROCEDIMIN PENAL</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Çdo denoncim nga njëra nga palët kontraktuese e cila synon fillimin e një procedimi penal përpara autoriteteve gjyqësore të një pale tjetër, do të jetë objekt i komunikimeve ndërmjet Ministrive të Drejtësisë. Megjithatë palët kontraktuese mund të përfitojnë nga mundësia që i jepet nga paragrafi i 6 i nenit 15.</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Pala, së cilës e drejtohet kërkesa, do të komunikojë përfundimin denoncimit dhe atëherë, kur duhet do të transferojë masën paraprake të marrë.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Denoncimeve të parashikuara nga paragrafi i parë i këtij neni do të zbatohen dispozitat e nenit 16.</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t>TITULLI VII</w:t>
      </w:r>
    </w:p>
    <w:p w:rsidR="008F27A4" w:rsidRPr="00A7060A" w:rsidRDefault="008F27A4" w:rsidP="003C6D67">
      <w:pPr>
        <w:pStyle w:val="TitulliTitull"/>
        <w:rPr>
          <w:rFonts w:ascii="Garamond" w:hAnsi="Garamond"/>
          <w:sz w:val="24"/>
          <w:szCs w:val="24"/>
        </w:rPr>
      </w:pPr>
      <w:r w:rsidRPr="00A7060A">
        <w:rPr>
          <w:rFonts w:ascii="Garamond" w:hAnsi="Garamond"/>
          <w:sz w:val="24"/>
          <w:szCs w:val="24"/>
        </w:rPr>
        <w:t>SHKËMBIMI I INFORMACIONIT LIDHUR ME DËNIMET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22</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Secila nga palët kontraktuese do të informojë palën e interesuar për vendimet penale dhe të masave përkatëse që i përkasin shtetasve të kësaj pale dhe që kanë qenë objekt për një regjistrim në zyrën e gjendjes gjyqësore. Ministritë e Drejtësisë të palëve në fjalë do të shkëmbejnë një informacion të tillë të paktën një herë në vit. Në qoftë </w:t>
      </w:r>
      <w:proofErr w:type="gramStart"/>
      <w:r w:rsidRPr="00A7060A">
        <w:rPr>
          <w:rFonts w:ascii="Garamond" w:hAnsi="Garamond"/>
          <w:sz w:val="24"/>
          <w:szCs w:val="24"/>
        </w:rPr>
        <w:t>se  personi</w:t>
      </w:r>
      <w:proofErr w:type="gramEnd"/>
      <w:r w:rsidRPr="00A7060A">
        <w:rPr>
          <w:rFonts w:ascii="Garamond" w:hAnsi="Garamond"/>
          <w:sz w:val="24"/>
          <w:szCs w:val="24"/>
        </w:rPr>
        <w:t xml:space="preserve"> nën një çështje është konsideruar shtetas i dy ose më shumë palëve kontraktuese, informacionet do të komunikohen nga secila nga palët e interesuara vetëm nëse një person e tillë nuk do të posedojë kombësinë e palës në territorin e së cilës është dhënë dënimi.</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Nr"/>
        <w:rPr>
          <w:rFonts w:ascii="Garamond" w:hAnsi="Garamond"/>
          <w:sz w:val="24"/>
          <w:szCs w:val="24"/>
        </w:rPr>
      </w:pPr>
      <w:r w:rsidRPr="00A7060A">
        <w:rPr>
          <w:rFonts w:ascii="Garamond" w:hAnsi="Garamond"/>
          <w:sz w:val="24"/>
          <w:szCs w:val="24"/>
        </w:rPr>
        <w:t>TITULLI VIII</w:t>
      </w:r>
    </w:p>
    <w:p w:rsidR="008F27A4" w:rsidRPr="00A7060A" w:rsidRDefault="008F27A4" w:rsidP="003C6D67">
      <w:pPr>
        <w:pStyle w:val="TitulliTitull"/>
        <w:rPr>
          <w:rFonts w:ascii="Garamond" w:hAnsi="Garamond"/>
          <w:sz w:val="24"/>
          <w:szCs w:val="24"/>
        </w:rPr>
      </w:pPr>
      <w:r w:rsidRPr="00A7060A">
        <w:rPr>
          <w:rFonts w:ascii="Garamond" w:hAnsi="Garamond"/>
          <w:sz w:val="24"/>
          <w:szCs w:val="24"/>
        </w:rPr>
        <w:t>DISPOZITA PËRFUNDIMTARE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23</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Secila nga palët kontraktuese mundet që, në momentin e firmosjes së kësaj Konvente ose të depozitimit të instrumenteve të ratifikimit ose të pranimit, të hartojë një rezervim për një ose më shumë dispozita të përcaktuara në këtë Konventë.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2. Secila nga palët kontraktuese që do të ketë formuluar një rezervë do ta revokojë atë </w:t>
      </w:r>
      <w:r w:rsidRPr="00A7060A">
        <w:rPr>
          <w:rFonts w:ascii="Garamond" w:hAnsi="Garamond"/>
          <w:sz w:val="24"/>
          <w:szCs w:val="24"/>
        </w:rPr>
        <w:lastRenderedPageBreak/>
        <w:t>menjëherë sapo rrethanat do ta lejojnë atë. Revokimi i rezervave do të bëhet nëpërmjet njoftimit që i drejtohet Sekretarit të Përgjithshëm të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Një palë kontraktuese që ka formuluar një rezervë për njërën nga dispozitat e Konventës nuk mund të pretendojë që pala tjetër të aplikojë këtë dispozitë deri në atë masë, që ajo vetë e ka pranuar.</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24</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Secila nga palët kontraktuese, në momentin e firmosjes së kësaj konvente, ose të depozitimit të instrumenteve të ratifikimit ose të pranimit, me deklaratë drejtuar Sekretarit të Përgjithshëm të Këshillit të Europës, duhet të tregojë se cilin autoritet ajo konsideron si autoritet gjyqësor për efekte të kësaj konvente.</w:t>
      </w:r>
    </w:p>
    <w:p w:rsidR="003C6D67" w:rsidRPr="00A7060A" w:rsidRDefault="003C6D67" w:rsidP="003C6D67">
      <w:pPr>
        <w:pStyle w:val="NeniNr"/>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25</w:t>
      </w:r>
    </w:p>
    <w:p w:rsidR="008F27A4" w:rsidRPr="00A7060A" w:rsidRDefault="008F27A4" w:rsidP="003C6D67">
      <w:pPr>
        <w:pStyle w:val="NeniNr"/>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Kjo Konventë do të zbatohet në territorin metropolitan të palëve kontraktuese.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2. Ajo do të </w:t>
      </w:r>
      <w:proofErr w:type="gramStart"/>
      <w:r w:rsidRPr="00A7060A">
        <w:rPr>
          <w:rFonts w:ascii="Garamond" w:hAnsi="Garamond"/>
          <w:sz w:val="24"/>
          <w:szCs w:val="24"/>
        </w:rPr>
        <w:t>aplikohet  edhe</w:t>
      </w:r>
      <w:proofErr w:type="gramEnd"/>
      <w:r w:rsidRPr="00A7060A">
        <w:rPr>
          <w:rFonts w:ascii="Garamond" w:hAnsi="Garamond"/>
          <w:sz w:val="24"/>
          <w:szCs w:val="24"/>
        </w:rPr>
        <w:t xml:space="preserve"> në Francë, Algjeri përsa i takon territoreve përtej detit si edhe përsa i përket Italisë, territorit të Somalisë nën administrimin italian.</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Republika Federale e Gjermanisë mund të zgjerojë zbatimin e kësaj Konvente në “Land” e Berlinit nëpërmjet deklarimit direkt tek Sekretari i Përgjithshëm i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4. Përsa i përket Mbretërisë së Vendeve të Ulta, kjo Konventë do të zbatohet në territorin europian të saj. Mbretëria mund ta shtrijë zbatimin e kësaj Konvente në Antillet e Hollandës, në Surinam dhe në Guinenë e Re Holandeze nëpërmjet një deklarate direkte Sekretarit të Përgjithshëm të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5. Nëpërmjet një marrëveshje ndërmjet dy ose më shumë palëve kontraktuese, fusha e zbatimit të kësaj konvente mund edhe të shtrihet, sipas kushteve që do të nënshkruhen në këtë marrëveshje, në territorin e njërës palë të ndryshëm nga ato që përmbahen në paragrafin 1,2,3, dhe 4 të këtij neni ku njëra </w:t>
      </w:r>
      <w:proofErr w:type="gramStart"/>
      <w:r w:rsidRPr="00A7060A">
        <w:rPr>
          <w:rFonts w:ascii="Garamond" w:hAnsi="Garamond"/>
          <w:sz w:val="24"/>
          <w:szCs w:val="24"/>
        </w:rPr>
        <w:t>nga  palët</w:t>
      </w:r>
      <w:proofErr w:type="gramEnd"/>
      <w:r w:rsidRPr="00A7060A">
        <w:rPr>
          <w:rFonts w:ascii="Garamond" w:hAnsi="Garamond"/>
          <w:sz w:val="24"/>
          <w:szCs w:val="24"/>
        </w:rPr>
        <w:t xml:space="preserve">  garanton marrëdhëniet ndërkombëtare.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26</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1. </w:t>
      </w:r>
      <w:proofErr w:type="gramStart"/>
      <w:r w:rsidRPr="00A7060A">
        <w:rPr>
          <w:rFonts w:ascii="Garamond" w:hAnsi="Garamond"/>
          <w:sz w:val="24"/>
          <w:szCs w:val="24"/>
        </w:rPr>
        <w:t>Përveç  dispozitave</w:t>
      </w:r>
      <w:proofErr w:type="gramEnd"/>
      <w:r w:rsidRPr="00A7060A">
        <w:rPr>
          <w:rFonts w:ascii="Garamond" w:hAnsi="Garamond"/>
          <w:sz w:val="24"/>
          <w:szCs w:val="24"/>
        </w:rPr>
        <w:t xml:space="preserve"> të paragrafit 7 të nenit 15 dhe të paragrafit 3 të nenit 16, kjo Konventë abrogon, përsa i përket territoreve tek të cilat zbatohet, dispozitat që në traktatet, konventat dhe marrëveshjet dypalëshe rregullojnë ndërmjet dy palëve kontraktuese, ndihmën juridike në fushën penale.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Megjithatë kjo Konventë nuk do të paragjykoje detyrimet që përmbahen në ndonjë konventë tjetër ndërkombëtare të karakterit dypalëshe ose shumëpalëshe, në të cilat disa klauzola rregullojnë ose do të rregullojnë, në një fushë të përcaktuar, ndihmën jurdike lidhur me çështje të caktuara.</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Palët kontraktuese nuk mund të përfundojnë ndërmjet tyre marrëveshje dypalëshe ose shumëpalëshe lidhur me ndihmën juridike përveçse për të kompletuar dispozitat e kësaj konvente ose për të lehtësuar zbatimin e parimeve që përmbahen në 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4. Në qoftë se, ndërmjet dy ose më shumë palëve kontraktuese, ndihma juridike në fushën penale do të bëhet në bazë të një legjislacioni uniform ose të një regjimi të veçantë që parashikon zbatimin reciprok të masave të ndihmës juridike në territoret tyre përkatëse, këto palë do të kenë mundësinë e rregullimit të marrëdhënieve të tyre të shumta në një fushë të tillë duke u bazuar ekskluzivisht në sisteme të tilla sipas dispozitave të kësaj Konvente. Palët </w:t>
      </w:r>
      <w:r w:rsidRPr="00A7060A">
        <w:rPr>
          <w:rFonts w:ascii="Garamond" w:hAnsi="Garamond"/>
          <w:sz w:val="24"/>
          <w:szCs w:val="24"/>
        </w:rPr>
        <w:lastRenderedPageBreak/>
        <w:t>kontraktuese, që përjashtojnë ose do të përjashtojnë nga marrëdhëniet e tyre reciproke zbatimin e kësaj konvente, në përputhje me dispozitate këtij paragrafi, duhet t’i bëjnë një njoftim Sekretarit të Përgjithshëm të Këshillit të Europës.</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27</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Kjo Konventë do të qëndrojë e hapur për t’u firmosur nga anëtarët e Këshillit të Europës. Ajo do të ratifikohet dhe instrumentet e ratifikimit do të jenë depozituar pranë Sekretarit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2. Konventa do të hyjë në fuqi 90 ditë pas datës së depozitimit të </w:t>
      </w:r>
      <w:proofErr w:type="gramStart"/>
      <w:r w:rsidRPr="00A7060A">
        <w:rPr>
          <w:rFonts w:ascii="Garamond" w:hAnsi="Garamond"/>
          <w:sz w:val="24"/>
          <w:szCs w:val="24"/>
        </w:rPr>
        <w:t>instrumentave  të</w:t>
      </w:r>
      <w:proofErr w:type="gramEnd"/>
      <w:r w:rsidRPr="00A7060A">
        <w:rPr>
          <w:rFonts w:ascii="Garamond" w:hAnsi="Garamond"/>
          <w:sz w:val="24"/>
          <w:szCs w:val="24"/>
        </w:rPr>
        <w:t xml:space="preserve"> ratifikimit. </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Përsa i përket çdo shteti firmues të kësaj konvente, që do të kenë ratifikuar kohët e fundit, ajo do të hyjë në fuqi 90 ditë pas depozitimit të instrumentave të saj të ratifikimit.</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28</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 </w:t>
      </w:r>
    </w:p>
    <w:p w:rsidR="008F27A4" w:rsidRPr="00A7060A" w:rsidRDefault="008F27A4" w:rsidP="008F27A4">
      <w:pPr>
        <w:pStyle w:val="Paragrafi"/>
        <w:rPr>
          <w:rFonts w:ascii="Garamond" w:hAnsi="Garamond"/>
          <w:sz w:val="24"/>
          <w:szCs w:val="24"/>
        </w:rPr>
      </w:pPr>
      <w:r w:rsidRPr="00A7060A">
        <w:rPr>
          <w:rFonts w:ascii="Garamond" w:hAnsi="Garamond"/>
          <w:sz w:val="24"/>
          <w:szCs w:val="24"/>
        </w:rPr>
        <w:t>1. Komiteti i Ministrave të Këshillit të Europës mund të ftojë çdo shtet që nuk është anëtar i Këshillit të aderojë në këtë Konventë.Vendimi për një ftesë të tillë duhet të merret me një marrëveshje unanime të anëtarëve të Këshillit që kanë ratifikuar Konventën.</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Pranimi do të bëhet nëpërmjet depozitimit, pranë Sekretarit të Përgjithshëm të Këshillit, të një instrumenti pranimi, që do të ketë efekt 90 ditë pas depozitimit të tyre.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29</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Secila nga palët kontraktuese mundet, përsa i takon, të denoncojë këtë konventë duke iu drejtuar Sekretarit të Përgjithshëm të Këshillit të Europës. Një denoncim i tillë do të fillojë të veprojë 6 muaj mbas datës së marrjes së njoftimit nga ana e Sekretarit të Përgjithshëm të Këshillit.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30</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Sekretari i Përgjithshëm i Këshillit të Europës do t’i njoftojë Anëtarëve të Këshillit të Europës dhe qeverive të çdo shteti, që ka aderuar në këtë Konventë: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a) emrat e firmuesve dhe depozitimin e çdo instrumenti të ratifikimit ose të pranimit;</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b)datën</w:t>
      </w:r>
      <w:proofErr w:type="gramEnd"/>
      <w:r w:rsidRPr="00A7060A">
        <w:rPr>
          <w:rFonts w:ascii="Garamond" w:hAnsi="Garamond"/>
          <w:sz w:val="24"/>
          <w:szCs w:val="24"/>
        </w:rPr>
        <w:t xml:space="preserve"> e hyrjes në fuqi;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c) çdo njoftim të marrë në zbatim të dispozitave të paragrafit të parë të nenit 5, të paragrafit 3 të nenit 7, të </w:t>
      </w:r>
      <w:proofErr w:type="gramStart"/>
      <w:r w:rsidRPr="00A7060A">
        <w:rPr>
          <w:rFonts w:ascii="Garamond" w:hAnsi="Garamond"/>
          <w:sz w:val="24"/>
          <w:szCs w:val="24"/>
        </w:rPr>
        <w:t>paragrafit  6</w:t>
      </w:r>
      <w:proofErr w:type="gramEnd"/>
      <w:r w:rsidRPr="00A7060A">
        <w:rPr>
          <w:rFonts w:ascii="Garamond" w:hAnsi="Garamond"/>
          <w:sz w:val="24"/>
          <w:szCs w:val="24"/>
        </w:rPr>
        <w:t xml:space="preserve"> të nenit 15, të paragrafit 2 të nenit 16, të nenit 24, të paragrafit të 3 dhe 4 të nenit 25 dhe të paragrafit  4 të nenit 26;</w:t>
      </w:r>
    </w:p>
    <w:p w:rsidR="008F27A4" w:rsidRPr="00A7060A" w:rsidRDefault="008F27A4" w:rsidP="008F27A4">
      <w:pPr>
        <w:pStyle w:val="Paragrafi"/>
        <w:rPr>
          <w:rFonts w:ascii="Garamond" w:hAnsi="Garamond"/>
          <w:sz w:val="24"/>
          <w:szCs w:val="24"/>
        </w:rPr>
      </w:pPr>
      <w:r w:rsidRPr="00A7060A">
        <w:rPr>
          <w:rFonts w:ascii="Garamond" w:hAnsi="Garamond"/>
          <w:sz w:val="24"/>
          <w:szCs w:val="24"/>
        </w:rPr>
        <w:t>d) çdo rezervim të formuluar në zbatim të dispozitave të paragrafit të parë të nenit 23;</w:t>
      </w:r>
    </w:p>
    <w:p w:rsidR="008F27A4" w:rsidRPr="00A7060A" w:rsidRDefault="008F27A4" w:rsidP="008F27A4">
      <w:pPr>
        <w:pStyle w:val="Paragrafi"/>
        <w:rPr>
          <w:rFonts w:ascii="Garamond" w:hAnsi="Garamond"/>
          <w:sz w:val="24"/>
          <w:szCs w:val="24"/>
        </w:rPr>
      </w:pPr>
      <w:r w:rsidRPr="00A7060A">
        <w:rPr>
          <w:rFonts w:ascii="Garamond" w:hAnsi="Garamond"/>
          <w:sz w:val="24"/>
          <w:szCs w:val="24"/>
        </w:rPr>
        <w:t>e) revokimin të bërë në zbatim të dispozitave të paragrafit të dytë të nenit 23, të çdo rezerve;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f) çdo njoftim të denoncimit të marrë në zbatim të dispozitave të nenit 29 dhe datën në të cilën ajo do të veprojë.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Me besim të nënshkruarit kanë firmosur këtë Konventë.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E bërë në Strasburg, me 20 prill 1959, në gjuhën franceze dhe angleze, të dy tekstet kanë të njëjtën vlerë, në një </w:t>
      </w:r>
      <w:proofErr w:type="gramStart"/>
      <w:r w:rsidRPr="00A7060A">
        <w:rPr>
          <w:rFonts w:ascii="Garamond" w:hAnsi="Garamond"/>
          <w:sz w:val="24"/>
          <w:szCs w:val="24"/>
        </w:rPr>
        <w:t>ekzemplar  të</w:t>
      </w:r>
      <w:proofErr w:type="gramEnd"/>
      <w:r w:rsidRPr="00A7060A">
        <w:rPr>
          <w:rFonts w:ascii="Garamond" w:hAnsi="Garamond"/>
          <w:sz w:val="24"/>
          <w:szCs w:val="24"/>
        </w:rPr>
        <w:t xml:space="preserve"> vetëm, që do të depozitohet në arkivat e Këshillit të Europës. Sekretari i Përgjithshëm i Këshillit të Europës do të transmetojë një kopje origjinale </w:t>
      </w:r>
      <w:r w:rsidRPr="00A7060A">
        <w:rPr>
          <w:rFonts w:ascii="Garamond" w:hAnsi="Garamond"/>
          <w:sz w:val="24"/>
          <w:szCs w:val="24"/>
        </w:rPr>
        <w:lastRenderedPageBreak/>
        <w:t>qeverive që kanë firmosur dhe kanë aderuar.</w:t>
      </w:r>
    </w:p>
    <w:p w:rsidR="008F27A4" w:rsidRPr="00A7060A" w:rsidRDefault="008F27A4" w:rsidP="003C6D67">
      <w:pPr>
        <w:pStyle w:val="TitulliTitull"/>
        <w:rPr>
          <w:rFonts w:ascii="Garamond" w:hAnsi="Garamond"/>
          <w:sz w:val="24"/>
          <w:szCs w:val="24"/>
        </w:rPr>
      </w:pPr>
    </w:p>
    <w:p w:rsidR="008F27A4" w:rsidRPr="00A7060A" w:rsidRDefault="008F27A4" w:rsidP="003C6D67">
      <w:pPr>
        <w:pStyle w:val="TitulliTitull"/>
        <w:rPr>
          <w:rFonts w:ascii="Garamond" w:hAnsi="Garamond"/>
          <w:sz w:val="24"/>
          <w:szCs w:val="24"/>
        </w:rPr>
      </w:pPr>
      <w:r w:rsidRPr="00A7060A">
        <w:rPr>
          <w:rFonts w:ascii="Garamond" w:hAnsi="Garamond"/>
          <w:sz w:val="24"/>
          <w:szCs w:val="24"/>
        </w:rPr>
        <w:t>DEKLARIME DHE REZERVIME TË REPUBLIKËS SË SHQIPËRISË NË “KONVENTËN EUROPIANE TË NDIHMËS JURIDIKE NË FUSHËN PENALE”</w:t>
      </w:r>
    </w:p>
    <w:p w:rsidR="008F27A4" w:rsidRPr="00A7060A" w:rsidRDefault="008F27A4" w:rsidP="003C6D67">
      <w:pPr>
        <w:pStyle w:val="TitulliTitull"/>
        <w:rPr>
          <w:rFonts w:ascii="Garamond" w:hAnsi="Garamond"/>
          <w:sz w:val="24"/>
          <w:szCs w:val="24"/>
        </w:rPr>
      </w:pPr>
    </w:p>
    <w:p w:rsidR="008F27A4" w:rsidRPr="00A7060A" w:rsidRDefault="008F27A4" w:rsidP="003C6D67">
      <w:pPr>
        <w:pStyle w:val="TitulliTitull"/>
        <w:rPr>
          <w:rFonts w:ascii="Garamond" w:hAnsi="Garamond"/>
          <w:sz w:val="24"/>
          <w:szCs w:val="24"/>
        </w:rPr>
      </w:pPr>
      <w:r w:rsidRPr="00A7060A">
        <w:rPr>
          <w:rFonts w:ascii="Garamond" w:hAnsi="Garamond"/>
          <w:sz w:val="24"/>
          <w:szCs w:val="24"/>
        </w:rPr>
        <w:t>REZERVIME</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Republika e Shqipërisë do të refuzojë dhënien e ndihmës juridike në fushën penale: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a) për vepra penale të cilat nuk parashikohen si të tilla nga legjislacioni penal shqiptar në fuqi;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b) për ato vepra penale të cilat janë në proces hetimi në territorin e Republikës së Shqipërisë ose në një shtet tjetër.</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Titull"/>
        <w:rPr>
          <w:rFonts w:ascii="Garamond" w:hAnsi="Garamond"/>
          <w:sz w:val="24"/>
          <w:szCs w:val="24"/>
        </w:rPr>
      </w:pPr>
      <w:r w:rsidRPr="00A7060A">
        <w:rPr>
          <w:rFonts w:ascii="Garamond" w:hAnsi="Garamond"/>
          <w:sz w:val="24"/>
          <w:szCs w:val="24"/>
        </w:rPr>
        <w:t>D E K L A R I M E</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Neni 3 paragrafi II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Sipas nenit 360 të Kodit të Procedurës Penale të Republikës së Shqipërisë dëshmitari ka detyrimin dhe përgjegjësinë ligjore për të thënë të vërtetën me përjashtim të rasteve kur dëshmitari është i mitur deri në 14 vjeç.</w:t>
      </w:r>
    </w:p>
    <w:p w:rsidR="008F27A4" w:rsidRPr="00A7060A" w:rsidRDefault="008F27A4" w:rsidP="008F27A4">
      <w:pPr>
        <w:pStyle w:val="Paragrafi"/>
        <w:rPr>
          <w:rFonts w:ascii="Garamond" w:hAnsi="Garamond"/>
          <w:sz w:val="24"/>
          <w:szCs w:val="24"/>
        </w:rPr>
      </w:pPr>
      <w:r w:rsidRPr="00A7060A">
        <w:rPr>
          <w:rFonts w:ascii="Garamond" w:hAnsi="Garamond"/>
          <w:sz w:val="24"/>
          <w:szCs w:val="24"/>
        </w:rPr>
        <w:t>Sekretari i gjykatës lexon deklaratën e betimit të dëshmitarit “Betohem se do të them të vërtetën të gjithë të vërtetën dhe të mos them asgjë që nuk është e vërtetë”.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Pas kësaj dëshmitari deklaron “Betohem” dhe tregon gjeneralitetet e tij.</w:t>
      </w:r>
    </w:p>
    <w:p w:rsidR="008F27A4" w:rsidRPr="00A7060A" w:rsidRDefault="008F27A4" w:rsidP="008F27A4">
      <w:pPr>
        <w:pStyle w:val="Paragrafi"/>
        <w:rPr>
          <w:rFonts w:ascii="Garamond" w:hAnsi="Garamond"/>
          <w:sz w:val="24"/>
          <w:szCs w:val="24"/>
        </w:rPr>
      </w:pPr>
      <w:r w:rsidRPr="00A7060A">
        <w:rPr>
          <w:rFonts w:ascii="Garamond" w:hAnsi="Garamond"/>
          <w:sz w:val="24"/>
          <w:szCs w:val="24"/>
        </w:rPr>
        <w:t>Mosrespektimi i paragrafeve 2 dhe 3 sjell pavlefshmërinë e veprimit të kryer.</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8</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Personi i thirrur në bazë të letërporosisë, kur paraqitet, nuk mund t’i nënshtrohet kufizimit të lirisë personale për fakte që kanë ndodhur para njoftimit për t’u paraqitur.</w:t>
      </w:r>
    </w:p>
    <w:p w:rsidR="008F27A4" w:rsidRPr="00A7060A" w:rsidRDefault="008F27A4" w:rsidP="008F27A4">
      <w:pPr>
        <w:pStyle w:val="Paragrafi"/>
        <w:rPr>
          <w:rFonts w:ascii="Garamond" w:hAnsi="Garamond"/>
          <w:sz w:val="24"/>
          <w:szCs w:val="24"/>
        </w:rPr>
      </w:pPr>
      <w:r w:rsidRPr="00A7060A">
        <w:rPr>
          <w:rFonts w:ascii="Garamond" w:hAnsi="Garamond"/>
          <w:sz w:val="24"/>
          <w:szCs w:val="24"/>
        </w:rPr>
        <w:t>Paprekshmëria e parashikuar në paragrafin e mësipërm pushon kur dëshmitari, eksperti apo i pandehuri, duke patur mundësinë nuk është larguar nga territori i shtetit shqiptar, me kalimin e 15 ditëve nga momenti kur prania e tij nuk kërkohet më nga autoriteti gjyqësor ose kur, pasi është larguar është kthyer vullnetarisht.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9</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Shpenzimet e bëra në territorin shqiptar mbulohen nga pala shqiptare, kur nuk ka marrëveshje tjetër.</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11</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Republika e Shqipërisë deklaron se ndihma e kërkuar në kuptim të nenit 11 të Konventës nuk mund të jepet.</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16</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Republika e Shqipërisë deklaron se do të kërkojë që dokumentet e dërguara për qëllim </w:t>
      </w:r>
      <w:r w:rsidRPr="00A7060A">
        <w:rPr>
          <w:rFonts w:ascii="Garamond" w:hAnsi="Garamond"/>
          <w:sz w:val="24"/>
          <w:szCs w:val="24"/>
        </w:rPr>
        <w:lastRenderedPageBreak/>
        <w:t>të kësaj konvente do të shoqërohen me një përkthim të tyre në njërën nga gjuhët zyrtare të Këshillit të Europës.</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Neni 24</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Autoritet gjyqësore, në kuptim të kësaj Konvente, janë Ministria e Drejtësisë e Republikës së Shqipërisë, gjykatat dhe prokuroritë.</w:t>
      </w:r>
    </w:p>
    <w:p w:rsidR="008F27A4" w:rsidRPr="00A7060A" w:rsidRDefault="008F27A4" w:rsidP="008F27A4">
      <w:pPr>
        <w:pStyle w:val="Paragrafi"/>
        <w:rPr>
          <w:rFonts w:ascii="Garamond" w:hAnsi="Garamond"/>
          <w:sz w:val="24"/>
          <w:szCs w:val="24"/>
        </w:rPr>
      </w:pPr>
    </w:p>
    <w:p w:rsidR="008F27A4" w:rsidRPr="00A7060A" w:rsidRDefault="008F27A4" w:rsidP="003C6D67">
      <w:pPr>
        <w:pStyle w:val="TitulliTitull"/>
        <w:rPr>
          <w:rFonts w:ascii="Garamond" w:hAnsi="Garamond"/>
          <w:sz w:val="24"/>
          <w:szCs w:val="24"/>
        </w:rPr>
      </w:pPr>
      <w:r w:rsidRPr="00A7060A">
        <w:rPr>
          <w:rFonts w:ascii="Garamond" w:hAnsi="Garamond"/>
          <w:sz w:val="24"/>
          <w:szCs w:val="24"/>
        </w:rPr>
        <w:t xml:space="preserve">PROTOKOLLI SHTESË I KONVENTËS EUROPIANE PËR NDIHMËN E NDËRSJELLTË JURIDIKE NË </w:t>
      </w:r>
      <w:proofErr w:type="gramStart"/>
      <w:r w:rsidRPr="00A7060A">
        <w:rPr>
          <w:rFonts w:ascii="Garamond" w:hAnsi="Garamond"/>
          <w:sz w:val="24"/>
          <w:szCs w:val="24"/>
        </w:rPr>
        <w:t>FUSHËN  PENALE</w:t>
      </w:r>
      <w:proofErr w:type="gramEnd"/>
      <w:r w:rsidR="003C6D67" w:rsidRPr="00A7060A">
        <w:rPr>
          <w:rFonts w:ascii="Garamond" w:hAnsi="Garamond"/>
          <w:sz w:val="24"/>
          <w:szCs w:val="24"/>
        </w:rPr>
        <w:t xml:space="preserve"> </w:t>
      </w:r>
      <w:r w:rsidRPr="00A7060A">
        <w:rPr>
          <w:rFonts w:ascii="Garamond" w:hAnsi="Garamond"/>
          <w:sz w:val="24"/>
          <w:szCs w:val="24"/>
        </w:rPr>
        <w:t>(ETS Nr.99)</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Strasburg, 17 mars 1978</w:t>
      </w:r>
    </w:p>
    <w:p w:rsidR="008F27A4" w:rsidRPr="00A7060A" w:rsidRDefault="008F27A4" w:rsidP="008F27A4">
      <w:pPr>
        <w:pStyle w:val="Paragrafi"/>
        <w:rPr>
          <w:rFonts w:ascii="Garamond" w:hAnsi="Garamond"/>
          <w:sz w:val="24"/>
          <w:szCs w:val="24"/>
        </w:rPr>
      </w:pPr>
      <w:r w:rsidRPr="00A7060A">
        <w:rPr>
          <w:rFonts w:ascii="Garamond" w:hAnsi="Garamond"/>
          <w:sz w:val="24"/>
          <w:szCs w:val="24"/>
        </w:rPr>
        <w:t>Shtetet anëtare të Këshillit të Europës, nënshkruese të këtij protokolli,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Duke dëshiruar lehtësimin e zbatimit të Konventës Europiane të Këshillit të europës, mbi ndihmën e Ndërsjelltë Juridike në Fushën Penale, e hapur për nënshkrim në Strasburg, në 20 prill 1959 (e quajtur më poshtë “Konventa”), në fushën e krimeve fisklae;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Duke e konsideruar atë si një shtesë të konsiderueshme të Konventës në disa drejtime,</w:t>
      </w:r>
    </w:p>
    <w:p w:rsidR="008F27A4" w:rsidRPr="00A7060A" w:rsidRDefault="008F27A4" w:rsidP="008F27A4">
      <w:pPr>
        <w:pStyle w:val="Paragrafi"/>
        <w:rPr>
          <w:rFonts w:ascii="Garamond" w:hAnsi="Garamond"/>
          <w:sz w:val="24"/>
          <w:szCs w:val="24"/>
        </w:rPr>
      </w:pPr>
      <w:r w:rsidRPr="00A7060A">
        <w:rPr>
          <w:rFonts w:ascii="Garamond" w:hAnsi="Garamond"/>
          <w:sz w:val="24"/>
          <w:szCs w:val="24"/>
        </w:rPr>
        <w:t>Ranë dakord si më poshtë:</w:t>
      </w:r>
    </w:p>
    <w:p w:rsidR="008F27A4" w:rsidRPr="00A7060A" w:rsidRDefault="008F27A4" w:rsidP="008F27A4">
      <w:pPr>
        <w:pStyle w:val="Paragrafi"/>
        <w:rPr>
          <w:rFonts w:ascii="Garamond" w:hAnsi="Garamond"/>
          <w:sz w:val="24"/>
          <w:szCs w:val="24"/>
        </w:rPr>
      </w:pPr>
    </w:p>
    <w:p w:rsidR="008F27A4" w:rsidRPr="00A7060A" w:rsidRDefault="008F27A4" w:rsidP="003C6D67">
      <w:pPr>
        <w:pStyle w:val="KapitulliNr"/>
        <w:rPr>
          <w:rFonts w:ascii="Garamond" w:hAnsi="Garamond"/>
          <w:sz w:val="24"/>
          <w:szCs w:val="24"/>
        </w:rPr>
      </w:pPr>
      <w:r w:rsidRPr="00A7060A">
        <w:rPr>
          <w:rFonts w:ascii="Garamond" w:hAnsi="Garamond"/>
          <w:sz w:val="24"/>
          <w:szCs w:val="24"/>
        </w:rPr>
        <w:t>KAPITULLI I</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1</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Palët kontraktuese nuk do të ushtrojnë të drejtat e parashikuara në nenin 2.a të Konventës për të refuzuar asistencën vetëm se kërkesa lidhet me një krim i cili për palën e kërkuar konsiderohet një krim fiskal.</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2</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Në rastin kur një palë kontraktuese ka bërë ekzekutimin e letërporosisë për kërkimin ose konfiskimin e pronësisë me kushtin që krimi i cili motivon letërporosinë është i dënueshëm në bazë të të dy ligjeve, si të palës kërkuese ashtu edhe të palës së kërkuar, ky kusht përmbushet në lidhje me shkeljet fiskale nëse shkelja është e dënueshme në bazë të ligjit të palës kërkuese dhe përputhet me një shkelje të së njëjtës natyre në bazë të ligjit të palës së kërkuar.</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Kërkesa nuk mund të rfuzohet për shkak se ligji i palës së kërkuar nuk parashikon të njëjtën taksë apo tatim doganor ose nuk përmban një taksë, tarifë ose detyrim doganor dhe të njëjtin mënyrë konvertimi siç e parashikon ligji i palës kërkuees.</w:t>
      </w:r>
    </w:p>
    <w:p w:rsidR="003C6D67" w:rsidRPr="00A7060A" w:rsidRDefault="003C6D67" w:rsidP="003C6D67">
      <w:pPr>
        <w:pStyle w:val="KapitulliNr"/>
        <w:rPr>
          <w:rFonts w:ascii="Garamond" w:hAnsi="Garamond"/>
          <w:sz w:val="24"/>
          <w:szCs w:val="24"/>
        </w:rPr>
      </w:pPr>
    </w:p>
    <w:p w:rsidR="008F27A4" w:rsidRPr="00A7060A" w:rsidRDefault="008F27A4" w:rsidP="003C6D67">
      <w:pPr>
        <w:pStyle w:val="KapitulliNr"/>
        <w:rPr>
          <w:rFonts w:ascii="Garamond" w:hAnsi="Garamond"/>
          <w:sz w:val="24"/>
          <w:szCs w:val="24"/>
        </w:rPr>
      </w:pPr>
      <w:r w:rsidRPr="00A7060A">
        <w:rPr>
          <w:rFonts w:ascii="Garamond" w:hAnsi="Garamond"/>
          <w:sz w:val="24"/>
          <w:szCs w:val="24"/>
        </w:rPr>
        <w:t>KAPITULLI II</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3</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Konventa zbatohet edhe për:</w:t>
      </w:r>
    </w:p>
    <w:p w:rsidR="008F27A4" w:rsidRPr="00A7060A" w:rsidRDefault="008F27A4" w:rsidP="008F27A4">
      <w:pPr>
        <w:pStyle w:val="Paragrafi"/>
        <w:rPr>
          <w:rFonts w:ascii="Garamond" w:hAnsi="Garamond"/>
          <w:sz w:val="24"/>
          <w:szCs w:val="24"/>
        </w:rPr>
      </w:pPr>
      <w:r w:rsidRPr="00A7060A">
        <w:rPr>
          <w:rFonts w:ascii="Garamond" w:hAnsi="Garamond"/>
          <w:sz w:val="24"/>
          <w:szCs w:val="24"/>
        </w:rPr>
        <w:t>a) Dorëzimin e dokumenteve në lidhje me ekzekutimin e një dënimi, marrjen e një gjobe ose pagesën e shpenzimeve të procesit gjyqësor.</w:t>
      </w:r>
    </w:p>
    <w:p w:rsidR="008F27A4" w:rsidRPr="00A7060A" w:rsidRDefault="008F27A4" w:rsidP="008F27A4">
      <w:pPr>
        <w:pStyle w:val="Paragrafi"/>
        <w:rPr>
          <w:rFonts w:ascii="Garamond" w:hAnsi="Garamond"/>
          <w:sz w:val="24"/>
          <w:szCs w:val="24"/>
        </w:rPr>
      </w:pPr>
      <w:r w:rsidRPr="00A7060A">
        <w:rPr>
          <w:rFonts w:ascii="Garamond" w:hAnsi="Garamond"/>
          <w:sz w:val="24"/>
          <w:szCs w:val="24"/>
        </w:rPr>
        <w:t>b) Masat që rregullojnë pezullimin e shpalljes së një dënimi ose ekzekutimin e tij, lirimin me kusht, shtyrjen e fillimit të ekzekutimit të një dënimi ose ndërprerjen e një ekzekutimi të tillë.</w:t>
      </w:r>
    </w:p>
    <w:p w:rsidR="008F27A4" w:rsidRPr="00A7060A" w:rsidRDefault="008F27A4" w:rsidP="008F27A4">
      <w:pPr>
        <w:pStyle w:val="Paragrafi"/>
        <w:rPr>
          <w:rFonts w:ascii="Garamond" w:hAnsi="Garamond"/>
          <w:sz w:val="24"/>
          <w:szCs w:val="24"/>
        </w:rPr>
      </w:pPr>
    </w:p>
    <w:p w:rsidR="008F27A4" w:rsidRPr="00A7060A" w:rsidRDefault="008F27A4" w:rsidP="003C6D67">
      <w:pPr>
        <w:pStyle w:val="KapitulliNr"/>
        <w:rPr>
          <w:rFonts w:ascii="Garamond" w:hAnsi="Garamond"/>
          <w:sz w:val="24"/>
          <w:szCs w:val="24"/>
        </w:rPr>
      </w:pPr>
      <w:r w:rsidRPr="00A7060A">
        <w:rPr>
          <w:rFonts w:ascii="Garamond" w:hAnsi="Garamond"/>
          <w:sz w:val="24"/>
          <w:szCs w:val="24"/>
        </w:rPr>
        <w:t>KAPITULLI III</w:t>
      </w:r>
    </w:p>
    <w:p w:rsidR="008F27A4" w:rsidRPr="00A7060A" w:rsidRDefault="008F27A4" w:rsidP="008F27A4">
      <w:pPr>
        <w:pStyle w:val="Paragrafi"/>
        <w:rPr>
          <w:rFonts w:ascii="Garamond" w:hAnsi="Garamond"/>
          <w:sz w:val="24"/>
          <w:szCs w:val="24"/>
        </w:rPr>
      </w:pPr>
    </w:p>
    <w:p w:rsidR="008F27A4" w:rsidRPr="00A7060A" w:rsidRDefault="008F27A4" w:rsidP="003C6D67">
      <w:pPr>
        <w:pStyle w:val="NeniNr"/>
        <w:rPr>
          <w:rFonts w:ascii="Garamond" w:hAnsi="Garamond"/>
          <w:sz w:val="24"/>
          <w:szCs w:val="24"/>
        </w:rPr>
      </w:pPr>
      <w:r w:rsidRPr="00A7060A">
        <w:rPr>
          <w:rFonts w:ascii="Garamond" w:hAnsi="Garamond"/>
          <w:sz w:val="24"/>
          <w:szCs w:val="24"/>
        </w:rPr>
        <w:t>Neni 4</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Neni 22 i Konventës plotësohet me tekstin e mëposhtëm, teksti origjinal i nenit 22 të Konventës, bëhet paragrafi 1 dhe dispozitat e përmendura më poshtë bëhen paragrafi 2.</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Për më tepër, çdo palë kontraktuese, që ka dhënë informacionin e sipërpërmendur i komunikon palës së interesuar, mbi bazën e kërkesës së kësaj të fundit, për çdo rast të veçantë, një kopje të dënimeve dhe masave në fjalë, si edhe çdo informacion që ka të bëjë me to, në mënyrë që t’i jepet mundësi asaj për të parë nëse këto bëjnë të domosdoshme marrjen e ndonjë mase në nivel kombëtar. Ky komunikim bëhet ndërmjet Ministrive përkatëse të Drejtësisë.</w:t>
      </w:r>
    </w:p>
    <w:p w:rsidR="008F27A4" w:rsidRPr="00A7060A" w:rsidRDefault="008F27A4" w:rsidP="008F27A4">
      <w:pPr>
        <w:pStyle w:val="Paragrafi"/>
        <w:rPr>
          <w:rFonts w:ascii="Garamond" w:hAnsi="Garamond"/>
          <w:sz w:val="24"/>
          <w:szCs w:val="24"/>
        </w:rPr>
      </w:pPr>
    </w:p>
    <w:p w:rsidR="0052371F" w:rsidRPr="00A7060A" w:rsidRDefault="0052371F" w:rsidP="0052371F">
      <w:pPr>
        <w:pStyle w:val="KapitulliNr"/>
        <w:keepNext w:val="0"/>
        <w:rPr>
          <w:rFonts w:ascii="Garamond" w:hAnsi="Garamond"/>
          <w:sz w:val="24"/>
          <w:szCs w:val="24"/>
        </w:rPr>
      </w:pPr>
    </w:p>
    <w:p w:rsidR="0052371F" w:rsidRPr="00A7060A" w:rsidRDefault="0052371F" w:rsidP="003C6D67">
      <w:pPr>
        <w:pStyle w:val="KapitulliNr"/>
        <w:rPr>
          <w:rFonts w:ascii="Garamond" w:hAnsi="Garamond"/>
          <w:sz w:val="24"/>
          <w:szCs w:val="24"/>
        </w:rPr>
      </w:pPr>
    </w:p>
    <w:p w:rsidR="008F27A4" w:rsidRPr="00A7060A" w:rsidRDefault="008F27A4" w:rsidP="003C6D67">
      <w:pPr>
        <w:pStyle w:val="KapitulliNr"/>
        <w:rPr>
          <w:rFonts w:ascii="Garamond" w:hAnsi="Garamond"/>
          <w:sz w:val="24"/>
          <w:szCs w:val="24"/>
        </w:rPr>
      </w:pPr>
      <w:r w:rsidRPr="00A7060A">
        <w:rPr>
          <w:rFonts w:ascii="Garamond" w:hAnsi="Garamond"/>
          <w:sz w:val="24"/>
          <w:szCs w:val="24"/>
        </w:rPr>
        <w:t>KAPITULLI IV</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5</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1. Ky protokoll është i hapur për nënshkrim për shtetet anëtare të Këshillit të Europës që kanë nënshkruar Konventën. Ajo i nënshtrohet ratifikimit, pranimit ose miratimit. Instrumentet e ratifikimit, pranimit ose të miratimit depozitohen te Sekretari i </w:t>
      </w:r>
      <w:proofErr w:type="gramStart"/>
      <w:r w:rsidRPr="00A7060A">
        <w:rPr>
          <w:rFonts w:ascii="Garamond" w:hAnsi="Garamond"/>
          <w:sz w:val="24"/>
          <w:szCs w:val="24"/>
        </w:rPr>
        <w:t>Përgjithshëm  i</w:t>
      </w:r>
      <w:proofErr w:type="gramEnd"/>
      <w:r w:rsidRPr="00A7060A">
        <w:rPr>
          <w:rFonts w:ascii="Garamond" w:hAnsi="Garamond"/>
          <w:sz w:val="24"/>
          <w:szCs w:val="24"/>
        </w:rPr>
        <w:t xml:space="preserve">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Protokolli do të hyjë në fuqi 90 ditë pas datës së depozitimit të tre instrumenteve të ratifikimit, pranimit ose të miratimit.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Në rastin e një shteti nënshkrues, i cili ratifikon pranon ose miraton më vonë, protokolli do të hyjë në fuqi 90 ditë mbas datës së depozitimit të instrumenteve të saj të ratifikimit, pranimit ose të miratimit.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4. Një shtet anëtar i Këshillit të Europës nuk mund të ratifikojë, të pranojë ose të miratojë këtë protokoll pa ratifikuar paraprakisht Konventën.</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6</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Çdo shtet që është pranuar në Konventë mund të pranohet edhe në këtë protokoll pas hyrjes në fuqi të këtij protokolli.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2. Një pranim i tillë do të ketë efekt me depozitimin pranë Sekretarit të Përgjithshëm të Këshillit të Europës të një instrumenti pranimi, i cili do të ketë efekt 90 ditë pas datës së depozitimit të tij.</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7</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Çdo shtet mundet, në kohën e nënshkrimit ose kur depoziton instrumentet e tij të ratifikimit, të pranimit, të miratimit ose të miratimit, të përcaktojë territorin ose territoret në të cilat ky protokoll do të zbatohet.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 xml:space="preserve">2. Çdo shtet mundet, në kohën e nënshkrimit ose kur depoziton instrumentet e tij të ratifikimit, pranimit të miratimit ose të miratimit, ose në çdo datë tjetër të mëvonshme, me anë të një deklarate të adresuar te Sekretari i Përgjithshëm i Këshillit të Europës, të shtrijë efektet e këtij protokolli mbi një ose disa territore të përcaktuara në deklaratë dhe për ato marrëdhënie </w:t>
      </w:r>
      <w:r w:rsidRPr="00A7060A">
        <w:rPr>
          <w:rFonts w:ascii="Garamond" w:hAnsi="Garamond"/>
          <w:sz w:val="24"/>
          <w:szCs w:val="24"/>
        </w:rPr>
        <w:lastRenderedPageBreak/>
        <w:t>ndërkombëtare për të cilat ai është përgjegjës, ose në ato për të cilat ai është autorizuar të ndërmarrë.</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Çdo deklaratë e bërë lidhur me paragrafin e mësipërm mundet që, në çdo territor të përmendur në një deklaratë të tillë, të tërhiqet nëpërmjet një njoftimi të adresuar te Sekretari i Përgjithshëm i Këshillit të Europës. Një tërheqje e tillë fillon të ketë efekt 6 muaj pas datës së marrjes së njoftimit nga ana e Sekretarit të Përgjithshëm të Këshillit të Europës.</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8</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Rezervimet e bëra nga ana e palëve kontraktuese lidhur me ndonjë dispozitë të Konventës do të jenë të zbatueshme edhe për këtë protokoll, përveç kur pala nuk deklaron ndryshe në kohën e nënshkrimit ose kur depoziton instrumentet e saj të ratifikimit, miratimit ose të miratimit. E njëjta gjë do të zbatohet edhe për deklaratat e bëra në bazë të nenit 24 të Konventës.</w:t>
      </w:r>
    </w:p>
    <w:p w:rsidR="0052371F" w:rsidRPr="00A7060A" w:rsidRDefault="0052371F"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2. Çdo shtet mundet, që në kohën e nënshkrimit ose të depozitimit të instrumenteve të tij të ratifikimit, pranimit, miratimit ose të miratimit, të deklarojë se rezervon të drejtën:</w:t>
      </w:r>
    </w:p>
    <w:p w:rsidR="008F27A4" w:rsidRPr="00A7060A" w:rsidRDefault="008F27A4" w:rsidP="008F27A4">
      <w:pPr>
        <w:pStyle w:val="Paragrafi"/>
        <w:rPr>
          <w:rFonts w:ascii="Garamond" w:hAnsi="Garamond"/>
          <w:sz w:val="24"/>
          <w:szCs w:val="24"/>
        </w:rPr>
      </w:pPr>
      <w:r w:rsidRPr="00A7060A">
        <w:rPr>
          <w:rFonts w:ascii="Garamond" w:hAnsi="Garamond"/>
          <w:sz w:val="24"/>
          <w:szCs w:val="24"/>
        </w:rPr>
        <w:t>a) të mos pranojë Kapitullin I, ose ta pranojë atë vetëm lidhur me disa krime të caktuara, ose kategori krimesh të referuara në nenin 1 ose që nuk përputhen me letërporositë për kërkim ose konfiskim të pasurisë në lidhje me krimet fiskale;</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b)të</w:t>
      </w:r>
      <w:proofErr w:type="gramEnd"/>
      <w:r w:rsidRPr="00A7060A">
        <w:rPr>
          <w:rFonts w:ascii="Garamond" w:hAnsi="Garamond"/>
          <w:sz w:val="24"/>
          <w:szCs w:val="24"/>
        </w:rPr>
        <w:t xml:space="preserve"> mos pranojë Kapitullin II;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c)të mos pranojë Kapitullin III.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Çdo palë kontraktuese mund të tërheqë deklarën e bërë në përputhje me paragrafin e mësipërm me anë të një deklarate drejtuar Sekretarit të Përgjithshëm të Këshillit të Europës, e cila do të jetë efektive nga data e marrjes së njoftimit.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4. Një palë kontraktuese që ka bërë një rezervim ndaj këtij protokolli në lidhje me një parashikim të Konventës ose që ka bërë një rezervim në lidhje me një parashikim të protokollit, nuk mund të kërkojë zbatimin e këtij parashikimi nga një palë tjetër, megjithatë mundet që n.q.s. rezervimi është i pjesshëm ose i kushtëzuar, mund të kërkojë zbatimin e këtij parashikimi për aq sa e ka pranuar vetë ai.</w:t>
      </w:r>
    </w:p>
    <w:p w:rsidR="008F27A4" w:rsidRPr="00A7060A" w:rsidRDefault="008F27A4" w:rsidP="008F27A4">
      <w:pPr>
        <w:pStyle w:val="Paragrafi"/>
        <w:rPr>
          <w:rFonts w:ascii="Garamond" w:hAnsi="Garamond"/>
          <w:sz w:val="24"/>
          <w:szCs w:val="24"/>
        </w:rPr>
      </w:pPr>
      <w:r w:rsidRPr="00A7060A">
        <w:rPr>
          <w:rFonts w:ascii="Garamond" w:hAnsi="Garamond"/>
          <w:sz w:val="24"/>
          <w:szCs w:val="24"/>
        </w:rPr>
        <w:t>5. Asnjë rezervim tjetër nuk mund të bëhet lidhur me dispozitat e këtij protokolli.</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9</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Dispozitat e këtij protokolli nuk paragjykojnë rregullime të mëtejshme të tjera me marrëveshje dypalëshe dhe shumëpalëshe të lidhura ndërmjet palëve kontraktuese, në zbatim të nenit 26 paragrafi 3 të Konventës.</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10</w:t>
      </w:r>
    </w:p>
    <w:p w:rsidR="008F27A4" w:rsidRPr="00A7060A" w:rsidRDefault="008F27A4" w:rsidP="0052371F">
      <w:pPr>
        <w:pStyle w:val="NeniNr"/>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Komiteti Europian për Problemet e Krimit në Këshillin e Europës do të mbahet i informuar lidhur me zbatimin e këtij protokolli dhe do të bëjë të gjitha përpjekjet për të lehtësuar zbatimin.</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11</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1. Çdo palë kontraktuese, mundet përsa lidhet me të, të denoncojë këtë protokoll nëpërmjet një njoftimi të bërë te Sekretari i Përgjithshëm i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lastRenderedPageBreak/>
        <w:t>2. Një denoncim i tillë do të ketë efekt 6 muaj pas datës së marrjes së njoftimit nga ana e Sekretarit të Përgjithshëm të Këshillit të Europës.</w:t>
      </w:r>
    </w:p>
    <w:p w:rsidR="008F27A4" w:rsidRPr="00A7060A" w:rsidRDefault="008F27A4" w:rsidP="008F27A4">
      <w:pPr>
        <w:pStyle w:val="Paragrafi"/>
        <w:rPr>
          <w:rFonts w:ascii="Garamond" w:hAnsi="Garamond"/>
          <w:sz w:val="24"/>
          <w:szCs w:val="24"/>
        </w:rPr>
      </w:pPr>
      <w:r w:rsidRPr="00A7060A">
        <w:rPr>
          <w:rFonts w:ascii="Garamond" w:hAnsi="Garamond"/>
          <w:sz w:val="24"/>
          <w:szCs w:val="24"/>
        </w:rPr>
        <w:t>3. Denoncimi i Konventës passjell automatikisht edhe denoncimin e këtij Protokolli.</w:t>
      </w:r>
    </w:p>
    <w:p w:rsidR="008F27A4" w:rsidRPr="00A7060A" w:rsidRDefault="008F27A4" w:rsidP="008F27A4">
      <w:pPr>
        <w:pStyle w:val="Paragrafi"/>
        <w:rPr>
          <w:rFonts w:ascii="Garamond" w:hAnsi="Garamond"/>
          <w:sz w:val="24"/>
          <w:szCs w:val="24"/>
        </w:rPr>
      </w:pPr>
    </w:p>
    <w:p w:rsidR="008F27A4" w:rsidRPr="00A7060A" w:rsidRDefault="008F27A4" w:rsidP="0052371F">
      <w:pPr>
        <w:pStyle w:val="NeniNr"/>
        <w:rPr>
          <w:rFonts w:ascii="Garamond" w:hAnsi="Garamond"/>
          <w:sz w:val="24"/>
          <w:szCs w:val="24"/>
        </w:rPr>
      </w:pPr>
      <w:r w:rsidRPr="00A7060A">
        <w:rPr>
          <w:rFonts w:ascii="Garamond" w:hAnsi="Garamond"/>
          <w:sz w:val="24"/>
          <w:szCs w:val="24"/>
        </w:rPr>
        <w:t>Neni 12</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Sekretari i i Përgjithshëm i Këshillit të Europës duhet të njoftojë shtetet anëtare të Këshilllit të Europës, si dhe çdo shtet që e ka pranuar Konventën mbi:</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a.çdo</w:t>
      </w:r>
      <w:proofErr w:type="gramEnd"/>
      <w:r w:rsidRPr="00A7060A">
        <w:rPr>
          <w:rFonts w:ascii="Garamond" w:hAnsi="Garamond"/>
          <w:sz w:val="24"/>
          <w:szCs w:val="24"/>
        </w:rPr>
        <w:t xml:space="preserve"> nënshkrim të këtij protokolli;</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b.çdo</w:t>
      </w:r>
      <w:proofErr w:type="gramEnd"/>
      <w:r w:rsidRPr="00A7060A">
        <w:rPr>
          <w:rFonts w:ascii="Garamond" w:hAnsi="Garamond"/>
          <w:sz w:val="24"/>
          <w:szCs w:val="24"/>
        </w:rPr>
        <w:t xml:space="preserve"> depozitim të instrumenteve të ratifikimit, pranimit, miratimit ose të miratimit;</w:t>
      </w:r>
    </w:p>
    <w:p w:rsidR="008F27A4" w:rsidRPr="00A7060A" w:rsidRDefault="008F27A4" w:rsidP="008F27A4">
      <w:pPr>
        <w:pStyle w:val="Paragrafi"/>
        <w:rPr>
          <w:rFonts w:ascii="Garamond" w:hAnsi="Garamond"/>
          <w:sz w:val="24"/>
          <w:szCs w:val="24"/>
        </w:rPr>
      </w:pPr>
      <w:r w:rsidRPr="00A7060A">
        <w:rPr>
          <w:rFonts w:ascii="Garamond" w:hAnsi="Garamond"/>
          <w:sz w:val="24"/>
          <w:szCs w:val="24"/>
        </w:rPr>
        <w:t>c.çdo datë të hyrjes në fuqi të këtij Protokolli në përputhje me nenin 5 dhe 6;</w:t>
      </w:r>
    </w:p>
    <w:p w:rsidR="008F27A4" w:rsidRPr="00A7060A" w:rsidRDefault="008F27A4" w:rsidP="008F27A4">
      <w:pPr>
        <w:pStyle w:val="Paragrafi"/>
        <w:rPr>
          <w:rFonts w:ascii="Garamond" w:hAnsi="Garamond"/>
          <w:sz w:val="24"/>
          <w:szCs w:val="24"/>
        </w:rPr>
      </w:pPr>
      <w:r w:rsidRPr="00A7060A">
        <w:rPr>
          <w:rFonts w:ascii="Garamond" w:hAnsi="Garamond"/>
          <w:sz w:val="24"/>
          <w:szCs w:val="24"/>
        </w:rPr>
        <w:t>d.çdo deklarim të marrë lidhur me paragrafet 2 dhe 3 të nenit 7;</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e.çdo</w:t>
      </w:r>
      <w:proofErr w:type="gramEnd"/>
      <w:r w:rsidRPr="00A7060A">
        <w:rPr>
          <w:rFonts w:ascii="Garamond" w:hAnsi="Garamond"/>
          <w:sz w:val="24"/>
          <w:szCs w:val="24"/>
        </w:rPr>
        <w:t xml:space="preserve"> deklarim të marrë lidhur me paragrafin 1 të nenit 8</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f.çdo</w:t>
      </w:r>
      <w:proofErr w:type="gramEnd"/>
      <w:r w:rsidRPr="00A7060A">
        <w:rPr>
          <w:rFonts w:ascii="Garamond" w:hAnsi="Garamond"/>
          <w:sz w:val="24"/>
          <w:szCs w:val="24"/>
        </w:rPr>
        <w:t xml:space="preserve"> rezervim të bërë në lidhje mesa është parashikuar në paragrafin 2 të neni 8;</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g.tërheqja</w:t>
      </w:r>
      <w:proofErr w:type="gramEnd"/>
      <w:r w:rsidRPr="00A7060A">
        <w:rPr>
          <w:rFonts w:ascii="Garamond" w:hAnsi="Garamond"/>
          <w:sz w:val="24"/>
          <w:szCs w:val="24"/>
        </w:rPr>
        <w:t xml:space="preserve"> e çdo rezerve e bërë në përputhje mesa është parashikuar në paragrafin 3 të nenit 8;</w:t>
      </w:r>
    </w:p>
    <w:p w:rsidR="008F27A4" w:rsidRPr="00A7060A" w:rsidRDefault="008F27A4" w:rsidP="008F27A4">
      <w:pPr>
        <w:pStyle w:val="Paragrafi"/>
        <w:rPr>
          <w:rFonts w:ascii="Garamond" w:hAnsi="Garamond"/>
          <w:sz w:val="24"/>
          <w:szCs w:val="24"/>
        </w:rPr>
      </w:pPr>
      <w:proofErr w:type="gramStart"/>
      <w:r w:rsidRPr="00A7060A">
        <w:rPr>
          <w:rFonts w:ascii="Garamond" w:hAnsi="Garamond"/>
          <w:sz w:val="24"/>
          <w:szCs w:val="24"/>
        </w:rPr>
        <w:t>h.çdo</w:t>
      </w:r>
      <w:proofErr w:type="gramEnd"/>
      <w:r w:rsidRPr="00A7060A">
        <w:rPr>
          <w:rFonts w:ascii="Garamond" w:hAnsi="Garamond"/>
          <w:sz w:val="24"/>
          <w:szCs w:val="24"/>
        </w:rPr>
        <w:t xml:space="preserve"> njoftim të marrë në përputhje me nenin 11 dhe datën kur denoncimi fillon efektet e tij.</w:t>
      </w:r>
    </w:p>
    <w:p w:rsidR="008F27A4" w:rsidRPr="00A7060A" w:rsidRDefault="008F27A4" w:rsidP="008F27A4">
      <w:pPr>
        <w:pStyle w:val="Paragrafi"/>
        <w:rPr>
          <w:rFonts w:ascii="Garamond" w:hAnsi="Garamond"/>
          <w:sz w:val="24"/>
          <w:szCs w:val="24"/>
        </w:rPr>
      </w:pPr>
    </w:p>
    <w:p w:rsidR="008F27A4" w:rsidRPr="00A7060A" w:rsidRDefault="008F27A4" w:rsidP="008F27A4">
      <w:pPr>
        <w:pStyle w:val="Paragrafi"/>
        <w:rPr>
          <w:rFonts w:ascii="Garamond" w:hAnsi="Garamond"/>
          <w:sz w:val="24"/>
          <w:szCs w:val="24"/>
        </w:rPr>
      </w:pPr>
      <w:r w:rsidRPr="00A7060A">
        <w:rPr>
          <w:rFonts w:ascii="Garamond" w:hAnsi="Garamond"/>
          <w:sz w:val="24"/>
          <w:szCs w:val="24"/>
        </w:rPr>
        <w:t>Palët e autorizuara me mirëbesim dhe mirëkuptim e kanë nënshkruar këtë protokoll.</w:t>
      </w:r>
    </w:p>
    <w:p w:rsidR="008F27A4" w:rsidRPr="00A7060A" w:rsidRDefault="008F27A4" w:rsidP="008F27A4">
      <w:pPr>
        <w:pStyle w:val="Paragrafi"/>
        <w:rPr>
          <w:rFonts w:ascii="Garamond" w:hAnsi="Garamond"/>
          <w:sz w:val="24"/>
          <w:szCs w:val="24"/>
        </w:rPr>
      </w:pPr>
      <w:r w:rsidRPr="00A7060A">
        <w:rPr>
          <w:rFonts w:ascii="Garamond" w:hAnsi="Garamond"/>
          <w:sz w:val="24"/>
          <w:szCs w:val="24"/>
        </w:rPr>
        <w:t>Bërë në Strasburg me 17 Mars 1978, në anglisht dhe frëngjisht, të dy tekstet me vlerë të njëjtë, dhe një kopje e të cilave depozitohet në arkivën e Këshillit të Europës. Sekretariati i Përgjithshëm i Këshillit të Europës do të dërgojë kopje të vërtetuara të secilës, shteteve nënshkruese dhe pranuese.</w:t>
      </w:r>
    </w:p>
    <w:p w:rsidR="008F27A4" w:rsidRPr="00A7060A" w:rsidRDefault="008F27A4" w:rsidP="008F27A4">
      <w:pPr>
        <w:pStyle w:val="Paragrafi"/>
        <w:rPr>
          <w:rFonts w:ascii="Garamond" w:hAnsi="Garamond"/>
          <w:sz w:val="24"/>
          <w:szCs w:val="24"/>
        </w:rPr>
      </w:pPr>
    </w:p>
    <w:p w:rsidR="00A0784B" w:rsidRPr="00A7060A" w:rsidRDefault="00A0784B" w:rsidP="008F27A4">
      <w:pPr>
        <w:pStyle w:val="Paragrafi"/>
        <w:rPr>
          <w:rFonts w:ascii="Garamond" w:hAnsi="Garamond"/>
          <w:sz w:val="24"/>
          <w:szCs w:val="24"/>
        </w:rPr>
      </w:pPr>
    </w:p>
    <w:sectPr w:rsidR="00A0784B" w:rsidRPr="00A706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C6D67"/>
    <w:rsid w:val="003E06F6"/>
    <w:rsid w:val="003F043A"/>
    <w:rsid w:val="004107B9"/>
    <w:rsid w:val="00411E6E"/>
    <w:rsid w:val="00470F9C"/>
    <w:rsid w:val="0050367C"/>
    <w:rsid w:val="00504A56"/>
    <w:rsid w:val="00507AF2"/>
    <w:rsid w:val="00517DEF"/>
    <w:rsid w:val="0052371F"/>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7B149A"/>
    <w:rsid w:val="0080475E"/>
    <w:rsid w:val="008072B9"/>
    <w:rsid w:val="00841EC5"/>
    <w:rsid w:val="008521B4"/>
    <w:rsid w:val="008656D4"/>
    <w:rsid w:val="00872000"/>
    <w:rsid w:val="00881600"/>
    <w:rsid w:val="008F27A4"/>
    <w:rsid w:val="009C29DF"/>
    <w:rsid w:val="009F72BC"/>
    <w:rsid w:val="00A0784B"/>
    <w:rsid w:val="00A16F91"/>
    <w:rsid w:val="00A246D1"/>
    <w:rsid w:val="00A43657"/>
    <w:rsid w:val="00A47BC4"/>
    <w:rsid w:val="00A7060A"/>
    <w:rsid w:val="00A923BE"/>
    <w:rsid w:val="00AA3124"/>
    <w:rsid w:val="00AA4D4B"/>
    <w:rsid w:val="00AF7A6F"/>
    <w:rsid w:val="00B673CE"/>
    <w:rsid w:val="00BB3954"/>
    <w:rsid w:val="00BB5AB5"/>
    <w:rsid w:val="00BC6B73"/>
    <w:rsid w:val="00C22BA7"/>
    <w:rsid w:val="00C32791"/>
    <w:rsid w:val="00C36B40"/>
    <w:rsid w:val="00C40649"/>
    <w:rsid w:val="00C7710C"/>
    <w:rsid w:val="00D11A97"/>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66D92"/>
  <w15:chartTrackingRefBased/>
  <w15:docId w15:val="{28F9A920-5E32-4385-BC9A-03621456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27A4"/>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rsid w:val="00517DEF"/>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5436</Words>
  <Characters>30987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2026-03-18T13:21:00Z</dcterms:created>
  <dcterms:modified xsi:type="dcterms:W3CDTF">2026-03-18T13:26:00Z</dcterms:modified>
</cp:coreProperties>
</file>