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439D" w:rsidRPr="00E1535C" w:rsidRDefault="00C5439D" w:rsidP="00C5439D">
      <w:pPr>
        <w:pStyle w:val="Akti"/>
      </w:pPr>
      <w:bookmarkStart w:id="0" w:name="_GoBack"/>
      <w:bookmarkEnd w:id="0"/>
      <w:r w:rsidRPr="00E1535C">
        <w:t>L I G J</w:t>
      </w:r>
    </w:p>
    <w:p w:rsidR="00C5439D" w:rsidRPr="00E1535C" w:rsidRDefault="00C5439D" w:rsidP="00C5439D">
      <w:pPr>
        <w:pStyle w:val="NumriData"/>
      </w:pPr>
      <w:r w:rsidRPr="00E1535C">
        <w:t>Nr.8506, datë 7.7.1999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Titulli"/>
      </w:pPr>
      <w:r w:rsidRPr="00E1535C">
        <w:t>PËR NJË NDRYSHIM NË LIGJIN NR.8474, DATË 14.4.1999 “PËR MIRATIMIN E NOMENKLATURËS DHE TË TARIFËS DOGANORE”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BazLigjPropozues"/>
      </w:pPr>
      <w:r w:rsidRPr="00E1535C">
        <w:t>Në mbështetje të neneve  78 dhe 83 pika 1 të Kushtetutës, me propozimin e Këshillit të Ministrave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Institucioni"/>
      </w:pPr>
      <w:r w:rsidRPr="00E1535C">
        <w:t>K U V E N D I</w:t>
      </w:r>
    </w:p>
    <w:p w:rsidR="00C5439D" w:rsidRPr="00E1535C" w:rsidRDefault="00C5439D" w:rsidP="00C5439D">
      <w:pPr>
        <w:pStyle w:val="Institucioni"/>
      </w:pPr>
      <w:r w:rsidRPr="00E1535C">
        <w:t>I REPUBLIKËS SË SHQIPËRISË</w:t>
      </w:r>
    </w:p>
    <w:p w:rsidR="00C5439D" w:rsidRPr="00E1535C" w:rsidRDefault="00C5439D" w:rsidP="00C5439D">
      <w:pPr>
        <w:pStyle w:val="Institucioni"/>
      </w:pPr>
    </w:p>
    <w:p w:rsidR="00C5439D" w:rsidRPr="00E1535C" w:rsidRDefault="00C5439D" w:rsidP="00C5439D">
      <w:pPr>
        <w:pStyle w:val="VENDOSI"/>
      </w:pPr>
      <w:r w:rsidRPr="00E1535C">
        <w:t>V E N D O S I: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NeniNr"/>
      </w:pPr>
      <w:r w:rsidRPr="00E1535C">
        <w:t>Neni 1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Paragrafi"/>
      </w:pPr>
      <w:r w:rsidRPr="00E1535C">
        <w:t>Në “Nomenklaturën e mallrave” dhe në “Tarifën doganore” të ligjit nr.8474, datë 14.4.1999 “Për miratimin e nomenklaturës dhe të tarifës doganore”, për krerët 2402 10 00, 2402 20 10, 2402 20 90 dhe 2402 90 00, tarifa doganore bëhet 10 për qind.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NeniNr"/>
      </w:pPr>
      <w:r w:rsidRPr="00E1535C">
        <w:t>Neni 2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Paragrafi"/>
      </w:pPr>
      <w:r w:rsidRPr="00E1535C">
        <w:t>Ky ligj hyn në fuqi 15 ditë pas botimit në Fletoren Zyrtare.</w:t>
      </w:r>
    </w:p>
    <w:p w:rsidR="00C5439D" w:rsidRPr="00E1535C" w:rsidRDefault="00C5439D" w:rsidP="00C5439D">
      <w:pPr>
        <w:pStyle w:val="Paragrafi"/>
      </w:pPr>
    </w:p>
    <w:p w:rsidR="00C5439D" w:rsidRPr="00E1535C" w:rsidRDefault="00C5439D" w:rsidP="00C5439D">
      <w:pPr>
        <w:pStyle w:val="Shpallja"/>
      </w:pPr>
      <w:r w:rsidRPr="00E1535C">
        <w:t>Shpallur me dekretin nr.2416, datë 19.7.1999 të Presidentit të Republikës së Shqipërisë, Rexhep Meidani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F65C6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5439D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3C9A8B2-F8B8-4014-BDAD-989E4DA3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2019-03-27T09:52:00Z</dcterms:created>
  <dcterms:modified xsi:type="dcterms:W3CDTF">2019-03-27T09:52:00Z</dcterms:modified>
</cp:coreProperties>
</file>