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72E" w:rsidRPr="00647072" w:rsidRDefault="0056472E" w:rsidP="0056472E">
      <w:pPr>
        <w:pStyle w:val="Akti"/>
      </w:pPr>
      <w:bookmarkStart w:id="0" w:name="_GoBack"/>
      <w:bookmarkEnd w:id="0"/>
      <w:r>
        <w:t>LIG</w:t>
      </w:r>
      <w:r w:rsidRPr="00647072">
        <w:t>J</w:t>
      </w:r>
    </w:p>
    <w:p w:rsidR="0056472E" w:rsidRPr="00647072" w:rsidRDefault="0056472E" w:rsidP="0056472E">
      <w:pPr>
        <w:pStyle w:val="NumriData"/>
      </w:pPr>
      <w:r>
        <w:t>Nr.</w:t>
      </w:r>
      <w:r w:rsidR="00677DF7">
        <w:t xml:space="preserve"> </w:t>
      </w:r>
      <w:r w:rsidRPr="00647072">
        <w:t>8570, datë 20.1.2000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Titulli"/>
      </w:pPr>
      <w:r w:rsidRPr="00647072">
        <w:t>PËR DISA NDRYSHIME NË KODIN E PROCEDURËS PENALE TË REPUBLIKËS SË SHQIPËRISË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BazLigjPropozues"/>
      </w:pPr>
      <w:r w:rsidRPr="00647072">
        <w:t>Në mbështetje të neneve 81 dhe 83 pika 1 të Kushtetutës, me propozimin e Këshillit të Ministrave,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Institucioni"/>
      </w:pPr>
      <w:r w:rsidRPr="00647072">
        <w:t>K U V E N D I</w:t>
      </w:r>
    </w:p>
    <w:p w:rsidR="0056472E" w:rsidRPr="00647072" w:rsidRDefault="0056472E" w:rsidP="0056472E">
      <w:pPr>
        <w:pStyle w:val="Institucioni"/>
      </w:pPr>
      <w:r w:rsidRPr="00647072">
        <w:t>I REPUBLIKËS SË SHQIPËRISË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VENDOSI"/>
      </w:pPr>
      <w:r w:rsidRPr="00647072">
        <w:t>V E N D O S I: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Paragrafi"/>
      </w:pPr>
      <w:r w:rsidRPr="00647072">
        <w:t>Në Kodin e Procedurës Penale të Republikës së Shqipërisë bëhen këto ndryshime: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NeniNr"/>
      </w:pPr>
      <w:r w:rsidRPr="00647072">
        <w:t>Neni 1</w:t>
      </w:r>
    </w:p>
    <w:p w:rsidR="0056472E" w:rsidRPr="00647072" w:rsidRDefault="0056472E" w:rsidP="0056472E">
      <w:pPr>
        <w:pStyle w:val="Paragrafi"/>
      </w:pPr>
      <w:r w:rsidRPr="00647072">
        <w:tab/>
      </w:r>
    </w:p>
    <w:p w:rsidR="0056472E" w:rsidRDefault="0056472E" w:rsidP="0056472E">
      <w:pPr>
        <w:pStyle w:val="Paragrafi"/>
      </w:pPr>
      <w:r w:rsidRPr="00647072">
        <w:t>Neni 263 ndryshohet si vijon:</w:t>
      </w:r>
    </w:p>
    <w:p w:rsidR="00677DF7" w:rsidRDefault="00677DF7" w:rsidP="0056472E">
      <w:pPr>
        <w:pStyle w:val="Paragrafi"/>
      </w:pPr>
    </w:p>
    <w:p w:rsidR="0056472E" w:rsidRDefault="0056472E" w:rsidP="00677DF7">
      <w:pPr>
        <w:pStyle w:val="NeniTitull"/>
      </w:pPr>
      <w:r w:rsidRPr="00647072">
        <w:t>“Afate</w:t>
      </w:r>
      <w:r w:rsidR="00677DF7">
        <w:t>t e kohëzgjatjes së paraburgimit</w:t>
      </w:r>
    </w:p>
    <w:p w:rsidR="00677DF7" w:rsidRDefault="00677DF7" w:rsidP="0056472E">
      <w:pPr>
        <w:pStyle w:val="Paragrafi"/>
      </w:pPr>
    </w:p>
    <w:p w:rsidR="0056472E" w:rsidRPr="00647072" w:rsidRDefault="0056472E" w:rsidP="0056472E">
      <w:pPr>
        <w:pStyle w:val="Paragrafi"/>
      </w:pPr>
      <w:r w:rsidRPr="00647072">
        <w:t>1. Paraburgimi e humbet fuqinë në qoftë se nga fillimi i zbatimit të tij kanë kaluar afatet e mëposhtme, pa u dorëzuar aktet në gjykatë:</w:t>
      </w:r>
    </w:p>
    <w:p w:rsidR="0056472E" w:rsidRPr="00647072" w:rsidRDefault="009A07E9" w:rsidP="0056472E">
      <w:pPr>
        <w:pStyle w:val="Paragrafi"/>
      </w:pPr>
      <w:r>
        <w:t xml:space="preserve">a) </w:t>
      </w:r>
      <w:r w:rsidR="0056472E" w:rsidRPr="00647072">
        <w:t>tre muaj, kur procedohet për kundërvajtje penale;</w:t>
      </w:r>
    </w:p>
    <w:p w:rsidR="0056472E" w:rsidRPr="00647072" w:rsidRDefault="009A07E9" w:rsidP="0056472E">
      <w:pPr>
        <w:pStyle w:val="Paragrafi"/>
      </w:pPr>
      <w:r>
        <w:t xml:space="preserve">b) </w:t>
      </w:r>
      <w:r w:rsidR="0056472E" w:rsidRPr="00647072">
        <w:t>gjashtë muaj, kur procedohet për krime që dënohen në maksimum deri në dhjetë vjet burgim;</w:t>
      </w:r>
    </w:p>
    <w:p w:rsidR="0056472E" w:rsidRPr="00647072" w:rsidRDefault="009A07E9" w:rsidP="0056472E">
      <w:pPr>
        <w:pStyle w:val="Paragrafi"/>
      </w:pPr>
      <w:r>
        <w:t xml:space="preserve">c) </w:t>
      </w:r>
      <w:r w:rsidR="0056472E" w:rsidRPr="00647072">
        <w:t>dymbëdhjetë muaj, kur procedohet për krime që dënohen në minimum jo më pak se dhjetë vjet burgim ose me burgim të përjetshëm.</w:t>
      </w:r>
    </w:p>
    <w:p w:rsidR="0056472E" w:rsidRPr="00647072" w:rsidRDefault="009A07E9" w:rsidP="0056472E">
      <w:pPr>
        <w:pStyle w:val="Paragrafi"/>
      </w:pPr>
      <w:r>
        <w:t xml:space="preserve">2. </w:t>
      </w:r>
      <w:r w:rsidR="0056472E" w:rsidRPr="00647072">
        <w:t>Paraburgimi e humbet fuqinë në qoftë se nga dita e dorëzimit të akteve në gjykatë kanë kaluar afatet e mëposhtme, pa u dhënë vendimi i dënimit në shkallë të parë:</w:t>
      </w:r>
    </w:p>
    <w:p w:rsidR="0056472E" w:rsidRPr="00647072" w:rsidRDefault="009A07E9" w:rsidP="0056472E">
      <w:pPr>
        <w:pStyle w:val="Paragrafi"/>
      </w:pPr>
      <w:r>
        <w:t xml:space="preserve">a) </w:t>
      </w:r>
      <w:r w:rsidR="0056472E" w:rsidRPr="00647072">
        <w:t>dy muaj, kur procedohet për kundërvajtje penale;</w:t>
      </w:r>
    </w:p>
    <w:p w:rsidR="0056472E" w:rsidRPr="00647072" w:rsidRDefault="009A07E9" w:rsidP="0056472E">
      <w:pPr>
        <w:pStyle w:val="Paragrafi"/>
      </w:pPr>
      <w:r>
        <w:t xml:space="preserve">b) </w:t>
      </w:r>
      <w:r w:rsidR="0056472E" w:rsidRPr="00647072">
        <w:t>nëntë muaj, kur procedohet për krime që dënohen në maksimum deri në dhjetë vjet burgim;</w:t>
      </w:r>
    </w:p>
    <w:p w:rsidR="0056472E" w:rsidRPr="00647072" w:rsidRDefault="009A07E9" w:rsidP="0056472E">
      <w:pPr>
        <w:pStyle w:val="Paragrafi"/>
      </w:pPr>
      <w:r>
        <w:t xml:space="preserve">c) </w:t>
      </w:r>
      <w:r w:rsidR="0056472E" w:rsidRPr="00647072">
        <w:t>dymbëdhjetë muaj, kur procdedohet për krime që dënohen në minimum jo më pak se dhjetë vjet burgim ose me burgim të përjetshëm.</w:t>
      </w:r>
    </w:p>
    <w:p w:rsidR="0056472E" w:rsidRPr="00647072" w:rsidRDefault="009A07E9" w:rsidP="0056472E">
      <w:pPr>
        <w:pStyle w:val="Paragrafi"/>
      </w:pPr>
      <w:r>
        <w:t xml:space="preserve">3. </w:t>
      </w:r>
      <w:r w:rsidR="0056472E" w:rsidRPr="00647072">
        <w:t>Paraburgimi e humbet fuqinë në qoftë se nga dita e dhënies së vendimit të dënimit në shkallë të parë kanë kaluar afatet e mëposhtme pa u dhënë vendimi i dënimit në gjykatën e apelit:</w:t>
      </w:r>
    </w:p>
    <w:p w:rsidR="0056472E" w:rsidRPr="00647072" w:rsidRDefault="009A07E9" w:rsidP="0056472E">
      <w:pPr>
        <w:pStyle w:val="Paragrafi"/>
      </w:pPr>
      <w:r>
        <w:t xml:space="preserve">a) </w:t>
      </w:r>
      <w:r w:rsidR="0056472E" w:rsidRPr="00647072">
        <w:t>dy muaj, kur procedohet për kundërvajtje penale;</w:t>
      </w:r>
    </w:p>
    <w:p w:rsidR="0056472E" w:rsidRPr="00647072" w:rsidRDefault="009A07E9" w:rsidP="0056472E">
      <w:pPr>
        <w:pStyle w:val="Paragrafi"/>
      </w:pPr>
      <w:r>
        <w:t xml:space="preserve">b) </w:t>
      </w:r>
      <w:r w:rsidR="0056472E" w:rsidRPr="00647072">
        <w:t>gjashtë muaj, kur procedohet për krime që dënohen në maksimum deri në dhjetë vjet burgim;</w:t>
      </w:r>
    </w:p>
    <w:p w:rsidR="0056472E" w:rsidRPr="00647072" w:rsidRDefault="009A07E9" w:rsidP="0056472E">
      <w:pPr>
        <w:pStyle w:val="Paragrafi"/>
      </w:pPr>
      <w:r>
        <w:t xml:space="preserve">c) </w:t>
      </w:r>
      <w:r w:rsidR="0056472E" w:rsidRPr="00647072">
        <w:t>nëntë muaj, kur procedohet për krime që dënohen në minimum jo më pak se dhjetë vjet burgim ose me burgim të përjetshëm.</w:t>
      </w:r>
    </w:p>
    <w:p w:rsidR="0056472E" w:rsidRPr="00647072" w:rsidRDefault="009A07E9" w:rsidP="0056472E">
      <w:pPr>
        <w:pStyle w:val="Paragrafi"/>
      </w:pPr>
      <w:r>
        <w:t xml:space="preserve">4. </w:t>
      </w:r>
      <w:r w:rsidR="0056472E" w:rsidRPr="00647072">
        <w:t>Në rastet kur vendimi prishet nga Gjykata e Lartë dhe çështja i dërgohet gjykatës së shkallës së parë ose apelit, si dhe kur vendimi prishet nga gjykata e apelit dhe i dërgohet gjykatës së shkallës së parë, nga dita e dhënies së vendimit të Gjykatës së Lartë apo të apelit, fillojnë përsëri afatet e parashikuara, për secilën shkallë të procedimit.</w:t>
      </w:r>
    </w:p>
    <w:p w:rsidR="0056472E" w:rsidRPr="00647072" w:rsidRDefault="0056472E" w:rsidP="0056472E">
      <w:pPr>
        <w:pStyle w:val="Paragrafi"/>
      </w:pPr>
      <w:r w:rsidRPr="00647072">
        <w:t>5. Në rast ikje të të pandehurit të paraburgosur, afatet fillojnë të ecin përsëri nga çasti në të cilin ai paraburgoset përsëri.</w:t>
      </w:r>
    </w:p>
    <w:p w:rsidR="0056472E" w:rsidRPr="00647072" w:rsidRDefault="0056472E" w:rsidP="0056472E">
      <w:pPr>
        <w:pStyle w:val="Paragrafi"/>
      </w:pPr>
      <w:r w:rsidRPr="00647072">
        <w:t>6. Kohëzgjatja tërësore e paraburgimit, duke marrë parasysh edhe zgjatjen e parashikuar nga neni 264 pika 2, nuk mund të kalojë këto afate:</w:t>
      </w:r>
    </w:p>
    <w:p w:rsidR="0056472E" w:rsidRPr="00647072" w:rsidRDefault="009A07E9" w:rsidP="0056472E">
      <w:pPr>
        <w:pStyle w:val="Paragrafi"/>
      </w:pPr>
      <w:r>
        <w:t xml:space="preserve">a) </w:t>
      </w:r>
      <w:r w:rsidR="0056472E" w:rsidRPr="00647072">
        <w:t>dhjetë muaj, kur procedohet për kundërvajtje penale;</w:t>
      </w:r>
    </w:p>
    <w:p w:rsidR="0056472E" w:rsidRPr="00647072" w:rsidRDefault="009A07E9" w:rsidP="0056472E">
      <w:pPr>
        <w:pStyle w:val="Paragrafi"/>
      </w:pPr>
      <w:r>
        <w:t xml:space="preserve">b) </w:t>
      </w:r>
      <w:r w:rsidR="0056472E" w:rsidRPr="00647072">
        <w:t>dy vjet, kur procedohet për krime që dënohen në maksimum deri në dhjetë vjet burgim;</w:t>
      </w:r>
    </w:p>
    <w:p w:rsidR="0056472E" w:rsidRPr="00647072" w:rsidRDefault="009A07E9" w:rsidP="0056472E">
      <w:pPr>
        <w:pStyle w:val="Paragrafi"/>
      </w:pPr>
      <w:r>
        <w:t xml:space="preserve">c) </w:t>
      </w:r>
      <w:r w:rsidR="0056472E" w:rsidRPr="00647072">
        <w:t>tre vjet, kur procedohet për krime që dënohen në minimum jo më pak se dhjetë vjet burgim ose me burgim të përjetshëm.”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NeniNr"/>
      </w:pPr>
      <w:r w:rsidRPr="00647072">
        <w:lastRenderedPageBreak/>
        <w:t>Neni 2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Paragrafi"/>
      </w:pPr>
      <w:r w:rsidRPr="00647072">
        <w:t>Në nenin 264 pika 2, fjalia e fundit ndryshohet si vijon:</w:t>
      </w:r>
    </w:p>
    <w:p w:rsidR="0056472E" w:rsidRPr="00647072" w:rsidRDefault="0056472E" w:rsidP="0056472E">
      <w:pPr>
        <w:pStyle w:val="Paragrafi"/>
      </w:pPr>
      <w:r w:rsidRPr="00647072">
        <w:t>“Zgjatja mund të bëhet vetëm një herë dhe nuk mund të jetë më shumë se tre muaj.”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NeniNr"/>
      </w:pPr>
      <w:r w:rsidRPr="00647072">
        <w:t>Neni 3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Paragrafi"/>
      </w:pPr>
      <w:r w:rsidRPr="00647072">
        <w:t>Neni 265 ndryshohet si vijon: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9A07E9">
      <w:pPr>
        <w:pStyle w:val="NeniTitull"/>
      </w:pPr>
      <w:r w:rsidRPr="00647072">
        <w:t>“Pezullimi i afateve të paraburgimit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Paragrafi"/>
      </w:pPr>
      <w:r w:rsidRPr="00647072">
        <w:t>1. Afatet e parashikuara nga neni 263 pezullohen me vendim të ankimueshëm të gjykatës:</w:t>
      </w:r>
    </w:p>
    <w:p w:rsidR="0056472E" w:rsidRPr="00647072" w:rsidRDefault="0056472E" w:rsidP="0056472E">
      <w:pPr>
        <w:pStyle w:val="Paragrafi"/>
      </w:pPr>
      <w:r w:rsidRPr="00647072">
        <w:t>a) për kohën që shqyrtimi gjyqësor është pezulluar ose shtyrë për shkak të veprimeve apo kërkesave të padrejta të bëra nga i pandehuri ose mbrojtësi i tij, përveç rasteve kur kërkesa bëhet për marrjen e provës;</w:t>
      </w:r>
    </w:p>
    <w:p w:rsidR="0056472E" w:rsidRPr="00647072" w:rsidRDefault="0056472E" w:rsidP="0056472E">
      <w:pPr>
        <w:pStyle w:val="Paragrafi"/>
      </w:pPr>
      <w:r w:rsidRPr="00647072">
        <w:t>b) për kohën që shqyrtimi gjyqësor është pezulluar ose shtyrë për shkak të mosparaqitjes ose të largimit të një a më shumë mbrojtësve, që lënë pa ndihmë një a më shumë të pandehur.”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NeniNr"/>
      </w:pPr>
      <w:r w:rsidRPr="00647072">
        <w:t>Neni 4</w:t>
      </w:r>
    </w:p>
    <w:p w:rsidR="0056472E" w:rsidRPr="00647072" w:rsidRDefault="0056472E" w:rsidP="0056472E">
      <w:pPr>
        <w:pStyle w:val="NeniTitull"/>
      </w:pPr>
      <w:r w:rsidRPr="00647072">
        <w:t>Dispozitë kalimtare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Paragrafi"/>
      </w:pPr>
      <w:r w:rsidRPr="00647072">
        <w:t>Afatet e kohëzgjatjes së paraburgimit, sipas këtij ligji, do të zbatohen ndaj personave që paraburgosen pas hyrjes në fuqi të tij.</w:t>
      </w:r>
    </w:p>
    <w:p w:rsidR="0056472E" w:rsidRPr="00647072" w:rsidRDefault="0056472E" w:rsidP="0056472E">
      <w:pPr>
        <w:pStyle w:val="Paragrafi"/>
      </w:pPr>
    </w:p>
    <w:p w:rsidR="0056472E" w:rsidRPr="00647072" w:rsidRDefault="0056472E" w:rsidP="0056472E">
      <w:pPr>
        <w:pStyle w:val="NeniNr"/>
      </w:pPr>
      <w:r w:rsidRPr="00647072">
        <w:t>Neni 5</w:t>
      </w:r>
    </w:p>
    <w:p w:rsidR="0056472E" w:rsidRPr="00647072" w:rsidRDefault="0056472E" w:rsidP="0056472E">
      <w:pPr>
        <w:pStyle w:val="Paragrafi"/>
      </w:pPr>
    </w:p>
    <w:p w:rsidR="0056472E" w:rsidRDefault="0056472E" w:rsidP="0056472E">
      <w:pPr>
        <w:pStyle w:val="Paragrafi"/>
      </w:pPr>
      <w:r w:rsidRPr="00647072">
        <w:t>Ky ligj hyn në fuqi 15 ditë pas botimit në Fletoren Zyrtare.</w:t>
      </w:r>
    </w:p>
    <w:p w:rsidR="0056472E" w:rsidRPr="00647072" w:rsidRDefault="0056472E" w:rsidP="0056472E">
      <w:pPr>
        <w:pStyle w:val="Paragrafi"/>
      </w:pPr>
    </w:p>
    <w:p w:rsidR="00A0784B" w:rsidRPr="003941D1" w:rsidRDefault="0056472E" w:rsidP="00512745">
      <w:pPr>
        <w:pStyle w:val="Shpallja"/>
      </w:pPr>
      <w:r w:rsidRPr="00AD59B1">
        <w:t>Shpallur me dekretin nr.2537, datë 30.1.2000 të Presidentit të Republikës së Shqipërisë, Rexhep Meidani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12745"/>
    <w:rsid w:val="00543147"/>
    <w:rsid w:val="00544065"/>
    <w:rsid w:val="00545117"/>
    <w:rsid w:val="00557A08"/>
    <w:rsid w:val="0056472E"/>
    <w:rsid w:val="0058563C"/>
    <w:rsid w:val="005A53C5"/>
    <w:rsid w:val="005D4BA8"/>
    <w:rsid w:val="00607F6D"/>
    <w:rsid w:val="00634290"/>
    <w:rsid w:val="00677DF7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A07E9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308BA0-D9EC-4117-A154-D8F7143F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2019-03-14T10:43:00Z</dcterms:created>
  <dcterms:modified xsi:type="dcterms:W3CDTF">2019-03-14T10:43:00Z</dcterms:modified>
</cp:coreProperties>
</file>