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DB" w:rsidRPr="00993E68" w:rsidRDefault="009067DB" w:rsidP="009067DB">
      <w:pPr>
        <w:pStyle w:val="Akti"/>
      </w:pPr>
      <w:bookmarkStart w:id="0" w:name="_GoBack"/>
      <w:bookmarkEnd w:id="0"/>
      <w:r w:rsidRPr="00993E68">
        <w:t>L I G J</w:t>
      </w:r>
    </w:p>
    <w:p w:rsidR="009067DB" w:rsidRPr="00993E68" w:rsidRDefault="009067DB" w:rsidP="009067DB">
      <w:pPr>
        <w:pStyle w:val="NumriData"/>
      </w:pPr>
      <w:r w:rsidRPr="00993E68">
        <w:t>Nr.</w:t>
      </w:r>
      <w:r w:rsidR="005F06C0">
        <w:t xml:space="preserve"> </w:t>
      </w:r>
      <w:r w:rsidRPr="00993E68">
        <w:t>8616, datë 1.6.2000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Titulli"/>
      </w:pPr>
      <w:r w:rsidRPr="00993E68">
        <w:t>PËR DISA SHTESA DHE NDRYSHIME NË LIGJIN NR.8440, DATË 13.1.1999 “PËR REGJISTRIMIN, MËNYRËN E PËRDORIMIT DHE KONTROLLIN E MJETEVE LUNDRUESE NËN 20 NRT””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BazLigjPropozues"/>
      </w:pPr>
      <w:r w:rsidRPr="00993E68">
        <w:t>Në mbështetje të neneve 78 dhe 83 pika 1 të Kushtetutës, me propozimin e Këshillit të Ministrave,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Institucioni"/>
      </w:pPr>
      <w:r w:rsidRPr="00993E68">
        <w:t>K U V E N D I</w:t>
      </w:r>
    </w:p>
    <w:p w:rsidR="009067DB" w:rsidRPr="00993E68" w:rsidRDefault="009067DB" w:rsidP="005F06C0">
      <w:pPr>
        <w:pStyle w:val="Paragrafi"/>
      </w:pPr>
    </w:p>
    <w:p w:rsidR="009067DB" w:rsidRPr="00993E68" w:rsidRDefault="009067DB" w:rsidP="009067DB">
      <w:pPr>
        <w:pStyle w:val="VENDOSI"/>
      </w:pPr>
      <w:r w:rsidRPr="00993E68">
        <w:t>I REPUBLIKËS SË SHQIPËRISË</w:t>
      </w:r>
    </w:p>
    <w:p w:rsidR="009067DB" w:rsidRPr="00993E68" w:rsidRDefault="009067DB" w:rsidP="009067DB">
      <w:pPr>
        <w:pStyle w:val="VENDOSI"/>
      </w:pPr>
      <w:r w:rsidRPr="00993E68">
        <w:t>V E N D O S I: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Paragrafi"/>
      </w:pPr>
      <w:r w:rsidRPr="00993E68">
        <w:t>Në ligjin nr.8440, datë 13.1.1999 “Për regjistrimin, mënyrën e përdorimit dhe kontrollin e mjeteve lundruese nën 20 NRT” bëhen këto ndryshime e shtesa: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NeniNr"/>
      </w:pPr>
      <w:r w:rsidRPr="00993E68">
        <w:t>Neni 1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Paragrafi"/>
      </w:pPr>
      <w:r w:rsidRPr="00993E68">
        <w:t>Neni 6 formulohet si më poshtë:</w:t>
      </w:r>
    </w:p>
    <w:p w:rsidR="009067DB" w:rsidRPr="00993E68" w:rsidRDefault="009067DB" w:rsidP="009067DB">
      <w:pPr>
        <w:pStyle w:val="Paragrafi"/>
      </w:pPr>
      <w:r w:rsidRPr="00993E68">
        <w:t>“Ndalohet regjistrimi dhe përdorimi i mjeteve lundruese të konstruktuara, me shpejtësi mbi 20 milje në orë dhe me fuqi motorike mbi 70 kuaj fuqi, me përjashtim të motobarkave që shërbejnë për peshkim.”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NeniNr"/>
      </w:pPr>
      <w:r w:rsidRPr="00993E68">
        <w:t>Neni 2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Paragrafi"/>
      </w:pPr>
      <w:r w:rsidRPr="00993E68">
        <w:t>Neni 9 formulohet si më poshtë:</w:t>
      </w:r>
    </w:p>
    <w:p w:rsidR="009067DB" w:rsidRPr="00993E68" w:rsidRDefault="009067DB" w:rsidP="009067DB">
      <w:pPr>
        <w:pStyle w:val="Paragrafi"/>
      </w:pPr>
      <w:r w:rsidRPr="00993E68">
        <w:t>“Për çdo mjet lundrimi, i cili kalon 2 milje nga bregu i detit dhe 0.2 milje për Kanalin e Korfuzit, drejtuesi i mjetit duhet të njoftojë kapitenerinë e portit më të afërt, jo më pak se 24 orë përpara dhe të konfirmojë dy orë përpara çdo veprimi për zhvendosjen e mjetit, për vendin e ridislokimit, për kohën e nisjes dhe të kthimit dhe për vendin ku do të kryejë veprimtarinë.”</w:t>
      </w:r>
    </w:p>
    <w:p w:rsidR="009067DB" w:rsidRPr="00993E68" w:rsidRDefault="009067DB" w:rsidP="009067DB">
      <w:pPr>
        <w:pStyle w:val="Paragrafi"/>
      </w:pPr>
      <w:r w:rsidRPr="00993E68">
        <w:t>Mënyrat dhe kodet e komunikimit përcaktohen me udhëzim të përbashkët të Ministrit të Rendit Publik dhe të Ministrit të Transportit.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NeniNr"/>
      </w:pPr>
      <w:r w:rsidRPr="00993E68">
        <w:t>Neni 3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Paragrafi"/>
      </w:pPr>
      <w:r w:rsidRPr="00993E68">
        <w:t>Në nenin 10, pas paragrafit të katërt, shtohet një paragraf me këtë përmbajtje:</w:t>
      </w:r>
    </w:p>
    <w:p w:rsidR="009067DB" w:rsidRPr="00993E68" w:rsidRDefault="009067DB" w:rsidP="009067DB">
      <w:pPr>
        <w:pStyle w:val="Paragrafi"/>
      </w:pPr>
      <w:r w:rsidRPr="00993E68">
        <w:t>“-Kur mjeti lundrues kapet në tokë dhe është në kundërshtim me rregullat e përcaktuara në nenet 2, 3, paragrafi i tretë i nenit 4, 6 dhe 8 të këtij ligji, pronari ose drejtuesi i mjetit dënohet me gjobë nga 50 000  deri në 100 000 lekë dhe mjeti lundrues, objekti i kundërvajtjes administrative, sekuestrohet.”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NeniNr"/>
      </w:pPr>
      <w:r w:rsidRPr="00993E68">
        <w:t>Neni 4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Paragrafi"/>
      </w:pPr>
      <w:r w:rsidRPr="00993E68">
        <w:t>Pas nenit 10 shtohet neni 10/1 me këtë përmbajtje:</w:t>
      </w:r>
    </w:p>
    <w:p w:rsidR="009067DB" w:rsidRPr="00993E68" w:rsidRDefault="009067DB" w:rsidP="009067DB">
      <w:pPr>
        <w:pStyle w:val="Paragrafi"/>
      </w:pPr>
      <w:r w:rsidRPr="00993E68">
        <w:t>“Ndalohet ushtrimi i veprimtarisë ilegale për prodhimin ose riparimin e mjeteve lundruese, objekti i këtij ligji. Ndaj kundërvajtësit merret masa e sekuestrimit të lokalit dhe të mjeteve të prodhimit.”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NeniNr"/>
      </w:pPr>
      <w:r w:rsidRPr="00993E68">
        <w:t>Neni 5</w:t>
      </w:r>
    </w:p>
    <w:p w:rsidR="009067DB" w:rsidRPr="00993E68" w:rsidRDefault="009067DB" w:rsidP="009067DB">
      <w:pPr>
        <w:pStyle w:val="Paragrafi"/>
      </w:pPr>
    </w:p>
    <w:p w:rsidR="009067DB" w:rsidRPr="00993E68" w:rsidRDefault="009067DB" w:rsidP="009067DB">
      <w:pPr>
        <w:pStyle w:val="Paragrafi"/>
      </w:pPr>
      <w:r w:rsidRPr="00993E68">
        <w:t>Ky ligj hyn në fuqi 15 ditë pas botimit në Fletoren Zyrtare.</w:t>
      </w:r>
    </w:p>
    <w:p w:rsidR="009067DB" w:rsidRPr="00993E68" w:rsidRDefault="009067DB" w:rsidP="009067DB">
      <w:pPr>
        <w:pStyle w:val="Paragrafi"/>
      </w:pPr>
    </w:p>
    <w:p w:rsidR="00A0784B" w:rsidRPr="007732C8" w:rsidRDefault="009067DB" w:rsidP="000F1884">
      <w:pPr>
        <w:pStyle w:val="Shpallja"/>
      </w:pPr>
      <w:r w:rsidRPr="00993E68">
        <w:t>Shpallur me dekretin nr.2645, datë 8.6.2000 të Presidentit të Republikës së Shqipërisë,</w:t>
      </w:r>
      <w:r w:rsidR="00222ADD">
        <w:t xml:space="preserve"> </w:t>
      </w:r>
      <w:r w:rsidRPr="00993E68">
        <w:t xml:space="preserve">Rexhep </w:t>
      </w:r>
      <w:r w:rsidRPr="00993E68">
        <w:lastRenderedPageBreak/>
        <w:t>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F1884"/>
    <w:rsid w:val="00134ADF"/>
    <w:rsid w:val="00187855"/>
    <w:rsid w:val="001909D3"/>
    <w:rsid w:val="001A58B2"/>
    <w:rsid w:val="001C7978"/>
    <w:rsid w:val="0022170D"/>
    <w:rsid w:val="00222AD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F06C0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067DB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CA1CA3-0C3B-465D-AFE9-C36DB988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