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1D7D" w:rsidRPr="000B41F5" w:rsidRDefault="00EE1D7D" w:rsidP="00EE1D7D">
      <w:pPr>
        <w:pStyle w:val="Akti"/>
      </w:pPr>
      <w:bookmarkStart w:id="0" w:name="_GoBack"/>
      <w:bookmarkEnd w:id="0"/>
      <w:r w:rsidRPr="000B41F5">
        <w:t>L I G J</w:t>
      </w:r>
    </w:p>
    <w:p w:rsidR="00EE1D7D" w:rsidRPr="000B41F5" w:rsidRDefault="00EE1D7D" w:rsidP="00EE1D7D">
      <w:pPr>
        <w:pStyle w:val="NumriData"/>
      </w:pPr>
      <w:r w:rsidRPr="000B41F5">
        <w:t>Nr.</w:t>
      </w:r>
      <w:r w:rsidR="00A61198">
        <w:t xml:space="preserve"> </w:t>
      </w:r>
      <w:r w:rsidRPr="000B41F5">
        <w:t>8656, datë 31.7.2000</w:t>
      </w:r>
    </w:p>
    <w:p w:rsidR="00EE1D7D" w:rsidRPr="000B41F5" w:rsidRDefault="00EE1D7D" w:rsidP="00EE1D7D">
      <w:pPr>
        <w:pStyle w:val="Paragrafi"/>
      </w:pPr>
    </w:p>
    <w:p w:rsidR="00EE1D7D" w:rsidRPr="000B41F5" w:rsidRDefault="00EE1D7D" w:rsidP="00EE1D7D">
      <w:pPr>
        <w:pStyle w:val="Titulli"/>
      </w:pPr>
      <w:r w:rsidRPr="000B41F5">
        <w:t>PËR DISA NDRYSHIME NË LIGJIN NR.8436, DATË 28.12.1998 “PËR ORGANIZIMIN E PUSHTETIT GJYQËSOR NË REPUBLIKËN E SHQIPËRISË”, NDRYSHUAR ME LIGJIN NR.8546, DATË 5.11.1999</w:t>
      </w:r>
    </w:p>
    <w:p w:rsidR="00EE1D7D" w:rsidRPr="000B41F5" w:rsidRDefault="00EE1D7D" w:rsidP="00EE1D7D">
      <w:pPr>
        <w:pStyle w:val="Paragrafi"/>
      </w:pPr>
    </w:p>
    <w:p w:rsidR="00EE1D7D" w:rsidRPr="000B41F5" w:rsidRDefault="00EE1D7D" w:rsidP="00EE1D7D">
      <w:pPr>
        <w:pStyle w:val="BazLigjPropozues"/>
      </w:pPr>
      <w:r w:rsidRPr="000B41F5">
        <w:t>Në mbështetje të neneve 81 dhe 83 pika 1 të Kushtetutës, me propozimin e Këshillit të Ministrave,</w:t>
      </w:r>
    </w:p>
    <w:p w:rsidR="00EE1D7D" w:rsidRPr="000B41F5" w:rsidRDefault="00EE1D7D" w:rsidP="00EE1D7D">
      <w:pPr>
        <w:pStyle w:val="BazLigjPropozues"/>
      </w:pPr>
    </w:p>
    <w:p w:rsidR="00EE1D7D" w:rsidRPr="000B41F5" w:rsidRDefault="00EE1D7D" w:rsidP="00EE1D7D">
      <w:pPr>
        <w:pStyle w:val="Institucioni"/>
      </w:pPr>
      <w:r w:rsidRPr="000B41F5">
        <w:t>K U V E N D I</w:t>
      </w:r>
    </w:p>
    <w:p w:rsidR="00EE1D7D" w:rsidRPr="000B41F5" w:rsidRDefault="00EE1D7D" w:rsidP="00EE1D7D">
      <w:pPr>
        <w:pStyle w:val="Paragrafi"/>
      </w:pPr>
    </w:p>
    <w:p w:rsidR="00EE1D7D" w:rsidRPr="000B41F5" w:rsidRDefault="00EE1D7D" w:rsidP="00EE1D7D">
      <w:pPr>
        <w:pStyle w:val="VENDOSI"/>
      </w:pPr>
      <w:r w:rsidRPr="000B41F5">
        <w:t>I REPUBLIKËS SË SHQIPËRISË</w:t>
      </w:r>
    </w:p>
    <w:p w:rsidR="00EE1D7D" w:rsidRPr="000B41F5" w:rsidRDefault="00EE1D7D" w:rsidP="00EE1D7D">
      <w:pPr>
        <w:pStyle w:val="VENDOSI"/>
      </w:pPr>
      <w:r w:rsidRPr="000B41F5">
        <w:t>V E N D O S I:</w:t>
      </w:r>
    </w:p>
    <w:p w:rsidR="00EE1D7D" w:rsidRPr="000B41F5" w:rsidRDefault="00EE1D7D" w:rsidP="00A61198">
      <w:pPr>
        <w:pStyle w:val="Paragrafi"/>
      </w:pPr>
    </w:p>
    <w:p w:rsidR="00EE1D7D" w:rsidRPr="000B41F5" w:rsidRDefault="00EE1D7D" w:rsidP="00EE1D7D">
      <w:pPr>
        <w:pStyle w:val="Paragrafi"/>
      </w:pPr>
      <w:r w:rsidRPr="000B41F5">
        <w:t>Në ligjin nr.8436, datë 28.3.1996 “Për organizimin e pushtetit gjyqësor në Republikën e Shqipërisë”, ndryshuar me ligjin nr.8546, datë 5.11.1999 bëhen këto ndryshime:</w:t>
      </w:r>
    </w:p>
    <w:p w:rsidR="00EE1D7D" w:rsidRPr="000B41F5" w:rsidRDefault="00EE1D7D" w:rsidP="00EE1D7D">
      <w:pPr>
        <w:pStyle w:val="Paragrafi"/>
      </w:pPr>
    </w:p>
    <w:p w:rsidR="00EE1D7D" w:rsidRPr="000B41F5" w:rsidRDefault="00EE1D7D" w:rsidP="00EE1D7D">
      <w:pPr>
        <w:pStyle w:val="NeniNr"/>
      </w:pPr>
      <w:r w:rsidRPr="000B41F5">
        <w:t>Neni 1</w:t>
      </w:r>
    </w:p>
    <w:p w:rsidR="00EE1D7D" w:rsidRPr="000B41F5" w:rsidRDefault="00EE1D7D" w:rsidP="00EE1D7D">
      <w:pPr>
        <w:pStyle w:val="Paragrafi"/>
      </w:pPr>
    </w:p>
    <w:p w:rsidR="00EE1D7D" w:rsidRPr="000B41F5" w:rsidRDefault="00EE1D7D" w:rsidP="00EE1D7D">
      <w:pPr>
        <w:pStyle w:val="Paragrafi"/>
      </w:pPr>
      <w:r w:rsidRPr="000B41F5">
        <w:t>Pas nenit 4 shtohet neni 4/a me këtë përmbajtje:</w:t>
      </w:r>
    </w:p>
    <w:p w:rsidR="00EE1D7D" w:rsidRPr="000B41F5" w:rsidRDefault="00EE1D7D" w:rsidP="00EE1D7D">
      <w:pPr>
        <w:pStyle w:val="Paragrafi"/>
      </w:pPr>
    </w:p>
    <w:p w:rsidR="00EE1D7D" w:rsidRPr="000B41F5" w:rsidRDefault="00EE1D7D" w:rsidP="00EE1D7D">
      <w:pPr>
        <w:pStyle w:val="NeniNr"/>
      </w:pPr>
      <w:r w:rsidRPr="000B41F5">
        <w:t>“Neni 4/a</w:t>
      </w:r>
    </w:p>
    <w:p w:rsidR="00EE1D7D" w:rsidRPr="000B41F5" w:rsidRDefault="00EE1D7D" w:rsidP="00EE1D7D">
      <w:pPr>
        <w:pStyle w:val="NeniTitull"/>
      </w:pPr>
      <w:r w:rsidRPr="000B41F5">
        <w:t>Viti gjyqësor</w:t>
      </w:r>
    </w:p>
    <w:p w:rsidR="00EE1D7D" w:rsidRPr="000B41F5" w:rsidRDefault="00EE1D7D" w:rsidP="00EE1D7D">
      <w:pPr>
        <w:pStyle w:val="Paragrafi"/>
      </w:pPr>
    </w:p>
    <w:p w:rsidR="00EE1D7D" w:rsidRPr="000B41F5" w:rsidRDefault="00EE1D7D" w:rsidP="00EE1D7D">
      <w:pPr>
        <w:pStyle w:val="Paragrafi"/>
      </w:pPr>
      <w:r w:rsidRPr="000B41F5">
        <w:t>1. Viti gjyqësor fillon më datën 10 maj të çdo viti kalendarik dhe përfundon më datën</w:t>
      </w:r>
      <w:r w:rsidR="00665B7D">
        <w:t xml:space="preserve"> </w:t>
      </w:r>
      <w:r w:rsidRPr="000B41F5">
        <w:t>9 maj të vitit pasardhës.</w:t>
      </w:r>
    </w:p>
    <w:p w:rsidR="00EE1D7D" w:rsidRPr="000B41F5" w:rsidRDefault="00EE1D7D" w:rsidP="00EE1D7D">
      <w:pPr>
        <w:pStyle w:val="Paragrafi"/>
      </w:pPr>
      <w:r w:rsidRPr="000B41F5">
        <w:t>2. Ceremonia e përurimit të vitit të ri gjyqësor bëhet në formë publike dhe solemne. Në këtë ceremoni marrin pjesë gjyqtarë, prokurorë, funksionarë të Ministrisë së Drejtësisë, të ftuar nga Gjykata Kushtetuese, Zyra e Avokatit të Popullit, Dhoma Kombëtare e Avokatisë, Dhoma Kombëtare e Noterisë, si dhe nga institucione ose subjekte të tjera, veprimtaria e të cilëve lidhet me fushën e drejtësisë dhe gjyqësorit.</w:t>
      </w:r>
    </w:p>
    <w:p w:rsidR="00EE1D7D" w:rsidRPr="000B41F5" w:rsidRDefault="00EE1D7D" w:rsidP="00EE1D7D">
      <w:pPr>
        <w:pStyle w:val="Paragrafi"/>
      </w:pPr>
      <w:r w:rsidRPr="000B41F5">
        <w:t>3. Ditën e përurimit të vitit të ri gjyqësor, Kryetari i Gjykatës së Lartë, Prokurori i Përgjithshëm dhe Ministri i Drejtësisë bëjnë publike Rezolutën e Përbashkët, lidhur me administrimin dhe problemet në fushën e drejtësisë në Republikën e Shqipërisë, në të cilën, ndër të tjera, jepen edhe orientime dhe rekomandime për veprimtarinë në vitin e ri gjyqësor.</w:t>
      </w:r>
    </w:p>
    <w:p w:rsidR="00EE1D7D" w:rsidRPr="000B41F5" w:rsidRDefault="00EE1D7D" w:rsidP="00EE1D7D">
      <w:pPr>
        <w:pStyle w:val="Paragrafi"/>
      </w:pPr>
      <w:r w:rsidRPr="000B41F5">
        <w:t>4. Kopje e Rezolutës së Përbashkët, lidhur me administrimin dhe problemet në fushën e drejtësisë, i dërgohet Presidentit të Republikës, Kuvendit dhe Kryeministrit të Republikës së Shqipërisë.”</w:t>
      </w:r>
    </w:p>
    <w:p w:rsidR="00EE1D7D" w:rsidRPr="000B41F5" w:rsidRDefault="00EE1D7D" w:rsidP="00EE1D7D">
      <w:pPr>
        <w:pStyle w:val="Paragrafi"/>
      </w:pPr>
    </w:p>
    <w:p w:rsidR="00EE1D7D" w:rsidRPr="000B41F5" w:rsidRDefault="00EE1D7D" w:rsidP="00EE1D7D">
      <w:pPr>
        <w:pStyle w:val="NeniNr"/>
      </w:pPr>
      <w:r w:rsidRPr="000B41F5">
        <w:t>Neni 2</w:t>
      </w:r>
    </w:p>
    <w:p w:rsidR="00EE1D7D" w:rsidRPr="000B41F5" w:rsidRDefault="00EE1D7D" w:rsidP="00EE1D7D">
      <w:pPr>
        <w:pStyle w:val="Paragrafi"/>
      </w:pPr>
    </w:p>
    <w:p w:rsidR="00EE1D7D" w:rsidRPr="000B41F5" w:rsidRDefault="00EE1D7D" w:rsidP="00EE1D7D">
      <w:pPr>
        <w:pStyle w:val="Paragrafi"/>
      </w:pPr>
      <w:r w:rsidRPr="000B41F5">
        <w:t>Në fillim të nenit 6 shtohet një paragraf me këtë përmbajtje:</w:t>
      </w:r>
    </w:p>
    <w:p w:rsidR="00EE1D7D" w:rsidRPr="000B41F5" w:rsidRDefault="00EE1D7D" w:rsidP="00EE1D7D">
      <w:pPr>
        <w:pStyle w:val="Paragrafi"/>
      </w:pPr>
      <w:r w:rsidRPr="000B41F5">
        <w:t>“Gjykata të shkallës së parë janë gjykatat e rretheve gjyqësore, gjykatat e krimeve të rënda dhe gjykatat ushtarake.”</w:t>
      </w:r>
    </w:p>
    <w:p w:rsidR="00EE1D7D" w:rsidRPr="000B41F5" w:rsidRDefault="00EE1D7D" w:rsidP="00EE1D7D">
      <w:pPr>
        <w:pStyle w:val="Paragrafi"/>
      </w:pPr>
    </w:p>
    <w:p w:rsidR="00EE1D7D" w:rsidRPr="000B41F5" w:rsidRDefault="00EE1D7D" w:rsidP="00EE1D7D">
      <w:pPr>
        <w:pStyle w:val="NeniNr"/>
      </w:pPr>
      <w:r w:rsidRPr="000B41F5">
        <w:t>Neni 3</w:t>
      </w:r>
    </w:p>
    <w:p w:rsidR="00EE1D7D" w:rsidRPr="000B41F5" w:rsidRDefault="00EE1D7D" w:rsidP="00EE1D7D">
      <w:pPr>
        <w:pStyle w:val="Paragrafi"/>
      </w:pPr>
    </w:p>
    <w:p w:rsidR="00EE1D7D" w:rsidRPr="000B41F5" w:rsidRDefault="00EE1D7D" w:rsidP="00EE1D7D">
      <w:pPr>
        <w:pStyle w:val="Paragrafi"/>
      </w:pPr>
      <w:r w:rsidRPr="000B41F5">
        <w:t>Neni 7 ndryshohet si vijon:</w:t>
      </w:r>
    </w:p>
    <w:p w:rsidR="00EE1D7D" w:rsidRPr="000B41F5" w:rsidRDefault="00EE1D7D" w:rsidP="00EE1D7D">
      <w:pPr>
        <w:pStyle w:val="Paragrafi"/>
      </w:pPr>
      <w:r w:rsidRPr="000B41F5">
        <w:t>“Gjykatat e apelit gjykojnë në shkallë të dytë, me trup gjykues të përbërë nga tre gjyqtarë, ankimet kundër vendimeve të gjykatave të rretheve gjyqësore.</w:t>
      </w:r>
    </w:p>
    <w:p w:rsidR="00C1180C" w:rsidRDefault="00EE1D7D" w:rsidP="00C1180C">
      <w:pPr>
        <w:pStyle w:val="Paragrafi"/>
      </w:pPr>
      <w:r w:rsidRPr="000B41F5">
        <w:t>Gjykatat e apelit gjykojnë në shkallë të dytë, me trup gjykues të përbërë nga pesë gjyqtarë, ankimet kundër vendimeve të gjykatave për krimet e rënda.”</w:t>
      </w:r>
    </w:p>
    <w:p w:rsidR="00C1180C" w:rsidRDefault="00C1180C" w:rsidP="00C1180C">
      <w:pPr>
        <w:pStyle w:val="Paragrafi"/>
      </w:pPr>
    </w:p>
    <w:p w:rsidR="00EE1D7D" w:rsidRPr="000B41F5" w:rsidRDefault="00EE1D7D" w:rsidP="00C1180C">
      <w:pPr>
        <w:pStyle w:val="NeniNr"/>
      </w:pPr>
      <w:r w:rsidRPr="000B41F5">
        <w:lastRenderedPageBreak/>
        <w:t>Neni 4</w:t>
      </w:r>
    </w:p>
    <w:p w:rsidR="00EE1D7D" w:rsidRPr="000B41F5" w:rsidRDefault="00EE1D7D" w:rsidP="00EE1D7D">
      <w:pPr>
        <w:pStyle w:val="Paragrafi"/>
      </w:pPr>
    </w:p>
    <w:p w:rsidR="00EE1D7D" w:rsidRPr="000B41F5" w:rsidRDefault="00EE1D7D" w:rsidP="00EE1D7D">
      <w:pPr>
        <w:pStyle w:val="Paragrafi"/>
      </w:pPr>
      <w:r w:rsidRPr="000B41F5">
        <w:t>Në fund të nenit 10 shtohet një fjali me këtë përmbajtje:</w:t>
      </w:r>
    </w:p>
    <w:p w:rsidR="00EE1D7D" w:rsidRPr="000B41F5" w:rsidRDefault="00EE1D7D" w:rsidP="00EE1D7D">
      <w:pPr>
        <w:pStyle w:val="Paragrafi"/>
      </w:pPr>
      <w:r w:rsidRPr="000B41F5">
        <w:t>“Krimet e rënda gjykohen nga pesë gjyqtarë.”</w:t>
      </w:r>
    </w:p>
    <w:p w:rsidR="00EE1D7D" w:rsidRPr="000B41F5" w:rsidRDefault="00EE1D7D" w:rsidP="00EE1D7D">
      <w:pPr>
        <w:pStyle w:val="Paragrafi"/>
      </w:pPr>
    </w:p>
    <w:p w:rsidR="00EE1D7D" w:rsidRPr="000B41F5" w:rsidRDefault="00EE1D7D" w:rsidP="00EE1D7D">
      <w:pPr>
        <w:pStyle w:val="NeniNr"/>
      </w:pPr>
      <w:r w:rsidRPr="000B41F5">
        <w:t>Neni 5</w:t>
      </w:r>
    </w:p>
    <w:p w:rsidR="00EE1D7D" w:rsidRPr="000B41F5" w:rsidRDefault="00EE1D7D" w:rsidP="00EE1D7D">
      <w:pPr>
        <w:pStyle w:val="NeniNr"/>
      </w:pPr>
    </w:p>
    <w:p w:rsidR="00EE1D7D" w:rsidRPr="000B41F5" w:rsidRDefault="00EE1D7D" w:rsidP="00EE1D7D">
      <w:pPr>
        <w:pStyle w:val="Paragrafi"/>
      </w:pPr>
      <w:r w:rsidRPr="000B41F5">
        <w:t>Në nenin 11 në paragrafin e parë bëhen këto shtesa dhe ndryshime:</w:t>
      </w:r>
    </w:p>
    <w:p w:rsidR="00EE1D7D" w:rsidRPr="000B41F5" w:rsidRDefault="00724AFD" w:rsidP="00EE1D7D">
      <w:pPr>
        <w:pStyle w:val="Paragrafi"/>
      </w:pPr>
      <w:r>
        <w:t xml:space="preserve">- </w:t>
      </w:r>
      <w:r w:rsidR="00EE1D7D" w:rsidRPr="000B41F5">
        <w:t>Në fjalinë e parë, fjalët “Gjykatat e shkallës së parë” zëvendësohen me fjalët “Gjykatat e rretheve gjyqësore”.</w:t>
      </w:r>
    </w:p>
    <w:p w:rsidR="00EE1D7D" w:rsidRPr="000B41F5" w:rsidRDefault="00EE1D7D" w:rsidP="00EE1D7D">
      <w:pPr>
        <w:pStyle w:val="Paragrafi"/>
      </w:pPr>
      <w:r w:rsidRPr="000B41F5">
        <w:t>- Pas fjalisë së parë shtohet një fjali me këtë përmbajtje:</w:t>
      </w:r>
    </w:p>
    <w:p w:rsidR="00EE1D7D" w:rsidRPr="000B41F5" w:rsidRDefault="00EE1D7D" w:rsidP="00EE1D7D">
      <w:pPr>
        <w:pStyle w:val="Paragrafi"/>
      </w:pPr>
      <w:r w:rsidRPr="000B41F5">
        <w:t>“Gjykatat për krimet e rënda organizohen dhe funksionojnë në një a më shumë rrethe gjyqësore.”</w:t>
      </w:r>
    </w:p>
    <w:p w:rsidR="00EE1D7D" w:rsidRPr="000B41F5" w:rsidRDefault="00EE1D7D" w:rsidP="00EE1D7D">
      <w:pPr>
        <w:pStyle w:val="Paragrafi"/>
      </w:pPr>
    </w:p>
    <w:p w:rsidR="00EE1D7D" w:rsidRPr="000B41F5" w:rsidRDefault="00EE1D7D" w:rsidP="00EE1D7D">
      <w:pPr>
        <w:pStyle w:val="NeniNr"/>
      </w:pPr>
      <w:r w:rsidRPr="000B41F5">
        <w:t>Neni 6</w:t>
      </w:r>
    </w:p>
    <w:p w:rsidR="00EE1D7D" w:rsidRPr="000B41F5" w:rsidRDefault="00EE1D7D" w:rsidP="00EE1D7D">
      <w:pPr>
        <w:pStyle w:val="Paragrafi"/>
      </w:pPr>
    </w:p>
    <w:p w:rsidR="00EE1D7D" w:rsidRPr="000B41F5" w:rsidRDefault="00EE1D7D" w:rsidP="00EE1D7D">
      <w:pPr>
        <w:pStyle w:val="Paragrafi"/>
      </w:pPr>
      <w:r w:rsidRPr="000B41F5">
        <w:t>Në nenin 14/b, në fund të pikës së dytë, shtohet një fjali me këtë përmbajtje:</w:t>
      </w:r>
    </w:p>
    <w:p w:rsidR="00EE1D7D" w:rsidRPr="000B41F5" w:rsidRDefault="00EE1D7D" w:rsidP="00EE1D7D">
      <w:pPr>
        <w:pStyle w:val="Paragrafi"/>
      </w:pPr>
      <w:r w:rsidRPr="000B41F5">
        <w:t>“Kancelari përfiton pagë dhe leje të pagueshme vjetore të njëjtë me atë të gjyqtarit të gjykatës përkatëse ku ushtron funksionet e tij.”</w:t>
      </w:r>
    </w:p>
    <w:p w:rsidR="00EE1D7D" w:rsidRPr="000B41F5" w:rsidRDefault="00EE1D7D" w:rsidP="00EE1D7D">
      <w:pPr>
        <w:pStyle w:val="NeniNr"/>
      </w:pPr>
    </w:p>
    <w:p w:rsidR="00EE1D7D" w:rsidRPr="000B41F5" w:rsidRDefault="00EE1D7D" w:rsidP="00EE1D7D">
      <w:pPr>
        <w:pStyle w:val="NeniNr"/>
      </w:pPr>
      <w:r w:rsidRPr="000B41F5">
        <w:t>Neni 7</w:t>
      </w:r>
    </w:p>
    <w:p w:rsidR="00EE1D7D" w:rsidRPr="000B41F5" w:rsidRDefault="00EE1D7D" w:rsidP="00EE1D7D">
      <w:pPr>
        <w:pStyle w:val="Paragrafi"/>
      </w:pPr>
    </w:p>
    <w:p w:rsidR="00EE1D7D" w:rsidRPr="000B41F5" w:rsidRDefault="00EE1D7D" w:rsidP="00EE1D7D">
      <w:pPr>
        <w:pStyle w:val="Paragrafi"/>
      </w:pPr>
      <w:r w:rsidRPr="000B41F5">
        <w:t>Në nenin 17 në paragrafin e dytë, pas fjalëve “ngarkesën në punë”, shtohen fjalët “, verifikimin dhe evidentimin e pasurive të deklaruara, të çështjeve të pajtueshmërisë së veprimtarisë dhe sjelljes së gjyqtarëve,”</w:t>
      </w:r>
    </w:p>
    <w:p w:rsidR="00EE1D7D" w:rsidRPr="000B41F5" w:rsidRDefault="00EE1D7D" w:rsidP="00EE1D7D">
      <w:pPr>
        <w:pStyle w:val="Paragrafi"/>
      </w:pPr>
    </w:p>
    <w:p w:rsidR="00EE1D7D" w:rsidRPr="000B41F5" w:rsidRDefault="00EE1D7D" w:rsidP="00EE1D7D">
      <w:pPr>
        <w:pStyle w:val="NeniNr"/>
      </w:pPr>
      <w:r w:rsidRPr="000B41F5">
        <w:t>Neni 8</w:t>
      </w:r>
    </w:p>
    <w:p w:rsidR="00EE1D7D" w:rsidRPr="000B41F5" w:rsidRDefault="00EE1D7D" w:rsidP="00EE1D7D">
      <w:pPr>
        <w:pStyle w:val="Paragrafi"/>
      </w:pPr>
    </w:p>
    <w:p w:rsidR="00EE1D7D" w:rsidRPr="000B41F5" w:rsidRDefault="00EE1D7D" w:rsidP="00EE1D7D">
      <w:pPr>
        <w:pStyle w:val="Paragrafi"/>
      </w:pPr>
      <w:r w:rsidRPr="000B41F5">
        <w:t>Në nenin 24 në pikën 1 fjalët “Gjyqtarët e gjykatës së apelit” zëvendësohen me fjalët “Gjyqtarët e gjykatave për krimet e rënda dhe të gjykatave të apelit”.</w:t>
      </w:r>
    </w:p>
    <w:p w:rsidR="00EE1D7D" w:rsidRPr="000B41F5" w:rsidRDefault="00EE1D7D" w:rsidP="00EE1D7D">
      <w:pPr>
        <w:pStyle w:val="Paragrafi"/>
      </w:pPr>
    </w:p>
    <w:p w:rsidR="00EE1D7D" w:rsidRPr="000B41F5" w:rsidRDefault="00EE1D7D" w:rsidP="00EE1D7D">
      <w:pPr>
        <w:pStyle w:val="NeniNr"/>
      </w:pPr>
      <w:r w:rsidRPr="000B41F5">
        <w:t>Neni 9</w:t>
      </w:r>
    </w:p>
    <w:p w:rsidR="00EE1D7D" w:rsidRPr="000B41F5" w:rsidRDefault="00EE1D7D" w:rsidP="00EE1D7D">
      <w:pPr>
        <w:pStyle w:val="Paragrafi"/>
      </w:pPr>
    </w:p>
    <w:p w:rsidR="00EE1D7D" w:rsidRPr="000B41F5" w:rsidRDefault="00EE1D7D" w:rsidP="00EE1D7D">
      <w:pPr>
        <w:pStyle w:val="Paragrafi"/>
      </w:pPr>
      <w:r w:rsidRPr="000B41F5">
        <w:t>Pas nenit 25 shtohet neni 25/a me këtë përmbajtje:</w:t>
      </w:r>
    </w:p>
    <w:p w:rsidR="00EE1D7D" w:rsidRPr="000B41F5" w:rsidRDefault="00EE1D7D" w:rsidP="00EE1D7D">
      <w:pPr>
        <w:pStyle w:val="Paragrafi"/>
      </w:pPr>
      <w:r w:rsidRPr="000B41F5">
        <w:t>“Për plotësimin e vendeve vakante dhe emërimin në detyrë të specialistëve psikologë, që bëjnë pjesë në trupat gjykues për gjykimin e të miturve, zbatohen procedurat e parashikuara në nenet 21, 22 dhe 23 të këtij ligji.</w:t>
      </w:r>
    </w:p>
    <w:p w:rsidR="00EE1D7D" w:rsidRPr="000B41F5" w:rsidRDefault="00EE1D7D" w:rsidP="00EE1D7D">
      <w:pPr>
        <w:pStyle w:val="Paragrafi"/>
      </w:pPr>
      <w:r w:rsidRPr="000B41F5">
        <w:t>Specialisti psikolog përfiton 80 për qind të pagës së gjyqtarit të gjykatës së rrethit gjyqësor ku ushtron funksionet e tij, si dhe leje të pagueshme vjetore prej 30 ditësh.”</w:t>
      </w:r>
    </w:p>
    <w:p w:rsidR="00EE1D7D" w:rsidRPr="000B41F5" w:rsidRDefault="00EE1D7D" w:rsidP="00EE1D7D">
      <w:pPr>
        <w:pStyle w:val="Paragrafi"/>
      </w:pPr>
    </w:p>
    <w:p w:rsidR="00EE1D7D" w:rsidRPr="000B41F5" w:rsidRDefault="00EE1D7D" w:rsidP="00EE1D7D">
      <w:pPr>
        <w:pStyle w:val="NeniNr"/>
      </w:pPr>
      <w:r w:rsidRPr="000B41F5">
        <w:t>Neni 10</w:t>
      </w:r>
    </w:p>
    <w:p w:rsidR="00EE1D7D" w:rsidRPr="000B41F5" w:rsidRDefault="00EE1D7D" w:rsidP="00EE1D7D">
      <w:pPr>
        <w:pStyle w:val="Paragrafi"/>
      </w:pPr>
    </w:p>
    <w:p w:rsidR="00EE1D7D" w:rsidRPr="000B41F5" w:rsidRDefault="00EE1D7D" w:rsidP="00EE1D7D">
      <w:pPr>
        <w:pStyle w:val="Paragrafi"/>
      </w:pPr>
      <w:r w:rsidRPr="000B41F5">
        <w:t>Pas nenit 30 shtohet neni 30/a me këtë përmbajtje:</w:t>
      </w:r>
    </w:p>
    <w:p w:rsidR="00EE1D7D" w:rsidRPr="000B41F5" w:rsidRDefault="00EE1D7D" w:rsidP="00EE1D7D">
      <w:pPr>
        <w:pStyle w:val="Paragrafi"/>
      </w:pPr>
      <w:r w:rsidRPr="000B41F5">
        <w:t>“Gjyqtarët mund të shërbejnë në nivele drejtuese të kabinetit të Ministrit dhe strukturave juridiko-profesionale të Ministrisë së Drejtësisë. Periudha e shërbimit civil të tyre në këto struktura njihet periudhë vjetërsie në punë si gjyqtar për efekt të kërkesave të karrierës profesionale, të parashikuara në dispozitat e ligjeve për organizimin e pushtetit gjyqësor, Gjykatës së Lartë, Gjykatës Kushtetuese dhe të Prokurorisë.</w:t>
      </w:r>
    </w:p>
    <w:p w:rsidR="00EE1D7D" w:rsidRPr="000B41F5" w:rsidRDefault="00EE1D7D" w:rsidP="00EE1D7D">
      <w:pPr>
        <w:pStyle w:val="Paragrafi"/>
      </w:pPr>
      <w:r w:rsidRPr="000B41F5">
        <w:t>Gjyqtarët që shërbejnë si nëpunës civilë në Ministrinë e Drejtësisë, me kërkesë të tyre, riemërohen gjyqtarë pa konkurrs.”</w:t>
      </w:r>
    </w:p>
    <w:p w:rsidR="00724AFD" w:rsidRDefault="00724AFD" w:rsidP="00EE1D7D">
      <w:pPr>
        <w:pStyle w:val="NeniNr"/>
      </w:pPr>
    </w:p>
    <w:p w:rsidR="00EE1D7D" w:rsidRPr="000B41F5" w:rsidRDefault="00EE1D7D" w:rsidP="00EE1D7D">
      <w:pPr>
        <w:pStyle w:val="NeniNr"/>
      </w:pPr>
      <w:r w:rsidRPr="000B41F5">
        <w:t>Neni 11</w:t>
      </w:r>
    </w:p>
    <w:p w:rsidR="00EE1D7D" w:rsidRPr="000B41F5" w:rsidRDefault="00EE1D7D" w:rsidP="00EE1D7D">
      <w:pPr>
        <w:pStyle w:val="Paragrafi"/>
      </w:pPr>
    </w:p>
    <w:p w:rsidR="00EE1D7D" w:rsidRPr="000B41F5" w:rsidRDefault="00EE1D7D" w:rsidP="00EE1D7D">
      <w:pPr>
        <w:pStyle w:val="Paragrafi"/>
      </w:pPr>
      <w:r w:rsidRPr="000B41F5">
        <w:t>Pas nenit 38 shtohet neni 38/a me këtë përmbajtje:</w:t>
      </w:r>
    </w:p>
    <w:p w:rsidR="00EE1D7D" w:rsidRPr="000B41F5" w:rsidRDefault="00EE1D7D" w:rsidP="00EE1D7D">
      <w:pPr>
        <w:pStyle w:val="Paragrafi"/>
      </w:pPr>
    </w:p>
    <w:p w:rsidR="00EE1D7D" w:rsidRPr="000B41F5" w:rsidRDefault="00EE1D7D" w:rsidP="00EE1D7D">
      <w:pPr>
        <w:pStyle w:val="NeniNr"/>
      </w:pPr>
      <w:r w:rsidRPr="000B41F5">
        <w:lastRenderedPageBreak/>
        <w:t>“Neni 38/a</w:t>
      </w:r>
    </w:p>
    <w:p w:rsidR="00EE1D7D" w:rsidRPr="000B41F5" w:rsidRDefault="00EE1D7D" w:rsidP="00EE1D7D">
      <w:pPr>
        <w:pStyle w:val="Paragrafi"/>
      </w:pPr>
    </w:p>
    <w:p w:rsidR="00EE1D7D" w:rsidRPr="000B41F5" w:rsidRDefault="00EE1D7D" w:rsidP="00EE1D7D">
      <w:pPr>
        <w:pStyle w:val="Paragrafi"/>
      </w:pPr>
      <w:r w:rsidRPr="000B41F5">
        <w:t>Ruajtja e veçantë vetjake për familjen dhe pronën e gjyqtarëve të gjykatave për krimet e rënda, si dhe trajtimi financiar i posaçëm i tyre, rregullohen me ligj.”</w:t>
      </w:r>
    </w:p>
    <w:p w:rsidR="00EE1D7D" w:rsidRPr="000B41F5" w:rsidRDefault="00EE1D7D" w:rsidP="00EE1D7D">
      <w:pPr>
        <w:pStyle w:val="Paragrafi"/>
      </w:pPr>
    </w:p>
    <w:p w:rsidR="00EE1D7D" w:rsidRPr="000B41F5" w:rsidRDefault="00EE1D7D" w:rsidP="00EE1D7D">
      <w:pPr>
        <w:pStyle w:val="NeniNr"/>
      </w:pPr>
      <w:r w:rsidRPr="000B41F5">
        <w:t>Neni 12</w:t>
      </w:r>
    </w:p>
    <w:p w:rsidR="00EE1D7D" w:rsidRPr="000B41F5" w:rsidRDefault="00EE1D7D" w:rsidP="00407A89">
      <w:pPr>
        <w:pStyle w:val="NeniTitull"/>
      </w:pPr>
      <w:r w:rsidRPr="000B41F5">
        <w:t>Dispozitë kalimtare</w:t>
      </w:r>
    </w:p>
    <w:p w:rsidR="00EE1D7D" w:rsidRPr="000B41F5" w:rsidRDefault="00EE1D7D" w:rsidP="00EE1D7D">
      <w:pPr>
        <w:pStyle w:val="Paragrafi"/>
      </w:pPr>
    </w:p>
    <w:p w:rsidR="00EE1D7D" w:rsidRPr="000B41F5" w:rsidRDefault="00EE1D7D" w:rsidP="00EE1D7D">
      <w:pPr>
        <w:pStyle w:val="Paragrafi"/>
      </w:pPr>
      <w:r w:rsidRPr="000B41F5">
        <w:t>Koha e fillimit të veprimtarisë së gjykatave për krimet e rënda caktohet me ligj.</w:t>
      </w:r>
    </w:p>
    <w:p w:rsidR="00EE1D7D" w:rsidRPr="000B41F5" w:rsidRDefault="00EE1D7D" w:rsidP="00EE1D7D">
      <w:pPr>
        <w:pStyle w:val="Paragrafi"/>
      </w:pPr>
    </w:p>
    <w:p w:rsidR="00EE1D7D" w:rsidRPr="000B41F5" w:rsidRDefault="00EE1D7D" w:rsidP="00EE1D7D">
      <w:pPr>
        <w:pStyle w:val="NeniNr"/>
      </w:pPr>
      <w:r w:rsidRPr="000B41F5">
        <w:t>Neni 13</w:t>
      </w:r>
    </w:p>
    <w:p w:rsidR="00EE1D7D" w:rsidRPr="000B41F5" w:rsidRDefault="00EE1D7D" w:rsidP="00EE1D7D">
      <w:pPr>
        <w:pStyle w:val="Paragrafi"/>
      </w:pPr>
    </w:p>
    <w:p w:rsidR="00EE1D7D" w:rsidRPr="000B41F5" w:rsidRDefault="00EE1D7D" w:rsidP="00EE1D7D">
      <w:pPr>
        <w:pStyle w:val="Paragrafi"/>
      </w:pPr>
      <w:r w:rsidRPr="000B41F5">
        <w:t>Ky ligj hyn në fuqi 15 ditë pas botimit në Fletoren Zyrtare.</w:t>
      </w:r>
    </w:p>
    <w:p w:rsidR="00EE1D7D" w:rsidRPr="000B41F5" w:rsidRDefault="00EE1D7D" w:rsidP="00EE1D7D">
      <w:pPr>
        <w:pStyle w:val="Paragrafi"/>
      </w:pPr>
    </w:p>
    <w:p w:rsidR="00A0784B" w:rsidRPr="007732C8" w:rsidRDefault="00EE1D7D" w:rsidP="00724AFD">
      <w:pPr>
        <w:pStyle w:val="Shpallja"/>
      </w:pPr>
      <w:r w:rsidRPr="000B41F5">
        <w:t>Shpallur me dekretin nr.2731, datë 7.8.2000 të Presidentit të Republikës së Shqipërisë, Rexhep Meidani.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07A89"/>
    <w:rsid w:val="00470F9C"/>
    <w:rsid w:val="004A734A"/>
    <w:rsid w:val="0050367C"/>
    <w:rsid w:val="00504A56"/>
    <w:rsid w:val="00507AF2"/>
    <w:rsid w:val="00543147"/>
    <w:rsid w:val="00545117"/>
    <w:rsid w:val="0058563C"/>
    <w:rsid w:val="005A53C5"/>
    <w:rsid w:val="005D4BA8"/>
    <w:rsid w:val="00665B7D"/>
    <w:rsid w:val="006A37D8"/>
    <w:rsid w:val="00705463"/>
    <w:rsid w:val="00724AFD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61198"/>
    <w:rsid w:val="00A923BE"/>
    <w:rsid w:val="00AA4D4B"/>
    <w:rsid w:val="00B26C38"/>
    <w:rsid w:val="00BB5AB5"/>
    <w:rsid w:val="00BC6B73"/>
    <w:rsid w:val="00C1180C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EE1D7D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D7BB674-0D83-4871-B750-C6DDA12E8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EE1D7D"/>
    <w:rPr>
      <w:rFonts w:ascii="CG Times" w:hAnsi="CG Times"/>
      <w:b/>
      <w:caps/>
      <w:sz w:val="22"/>
      <w:szCs w:val="22"/>
      <w:lang w:val="en-GB" w:eastAsia="en-US" w:bidi="ar-SA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728</Words>
  <Characters>4152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4871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2019-03-14T11:00:00Z</dcterms:created>
  <dcterms:modified xsi:type="dcterms:W3CDTF">2019-03-14T11:00:00Z</dcterms:modified>
</cp:coreProperties>
</file>