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AA1" w:rsidRPr="0050591A" w:rsidRDefault="00407AA1" w:rsidP="00407AA1">
      <w:pPr>
        <w:pStyle w:val="Akti"/>
      </w:pPr>
      <w:bookmarkStart w:id="0" w:name="_GoBack"/>
      <w:bookmarkEnd w:id="0"/>
      <w:r w:rsidRPr="0050591A">
        <w:t>L I G J</w:t>
      </w:r>
    </w:p>
    <w:p w:rsidR="00407AA1" w:rsidRPr="0050591A" w:rsidRDefault="00407AA1" w:rsidP="00407AA1">
      <w:pPr>
        <w:pStyle w:val="NumriData"/>
      </w:pPr>
      <w:r w:rsidRPr="0050591A">
        <w:t>Nr. 8711, datë 15.12.2000</w:t>
      </w:r>
    </w:p>
    <w:p w:rsidR="00407AA1" w:rsidRPr="0050591A" w:rsidRDefault="00407AA1" w:rsidP="007828BE">
      <w:pPr>
        <w:pStyle w:val="Paragrafi"/>
      </w:pPr>
    </w:p>
    <w:p w:rsidR="00407AA1" w:rsidRPr="0050591A" w:rsidRDefault="00407AA1" w:rsidP="00407AA1">
      <w:pPr>
        <w:pStyle w:val="Titulli"/>
      </w:pPr>
      <w:r w:rsidRPr="0050591A">
        <w:t>PËR DISA NDRYSHIME NË LIGJIN NR. 8438, DATË 28.12.1998</w:t>
      </w:r>
      <w:r w:rsidR="006E473F">
        <w:t>,</w:t>
      </w:r>
      <w:r w:rsidR="007828BE">
        <w:t xml:space="preserve"> </w:t>
      </w:r>
      <w:r w:rsidRPr="0050591A">
        <w:t>PËR TATIMIN MBI TË ARDHURAT”</w:t>
      </w:r>
    </w:p>
    <w:p w:rsidR="00407AA1" w:rsidRPr="0050591A" w:rsidRDefault="00407AA1" w:rsidP="007828BE">
      <w:pPr>
        <w:pStyle w:val="Paragrafi"/>
      </w:pPr>
    </w:p>
    <w:p w:rsidR="00407AA1" w:rsidRPr="0050591A" w:rsidRDefault="00407AA1" w:rsidP="00407AA1">
      <w:pPr>
        <w:pStyle w:val="BazLigjPropozues"/>
      </w:pPr>
      <w:r w:rsidRPr="0050591A">
        <w:t xml:space="preserve">Në mbështetje të neneve 78, 83, pika 1 dhe 155 të Kushtetutës, me propozimin e Këshillit të Ministrave, </w:t>
      </w:r>
    </w:p>
    <w:p w:rsidR="00407AA1" w:rsidRPr="0050591A" w:rsidRDefault="00407AA1" w:rsidP="007828BE">
      <w:pPr>
        <w:pStyle w:val="Paragrafi"/>
      </w:pPr>
    </w:p>
    <w:p w:rsidR="00407AA1" w:rsidRPr="0050591A" w:rsidRDefault="00407AA1" w:rsidP="00407AA1">
      <w:pPr>
        <w:pStyle w:val="Institucioni"/>
      </w:pPr>
      <w:r w:rsidRPr="0050591A">
        <w:t>K U V E N D I</w:t>
      </w:r>
    </w:p>
    <w:p w:rsidR="00407AA1" w:rsidRPr="0050591A" w:rsidRDefault="00407AA1" w:rsidP="007828BE">
      <w:pPr>
        <w:pStyle w:val="Paragrafi"/>
      </w:pPr>
    </w:p>
    <w:p w:rsidR="00407AA1" w:rsidRPr="0050591A" w:rsidRDefault="00407AA1" w:rsidP="00407AA1">
      <w:pPr>
        <w:pStyle w:val="VENDOSI"/>
      </w:pPr>
      <w:r w:rsidRPr="0050591A">
        <w:t>I REPUBLIKËS SË SHQIPËRISË</w:t>
      </w:r>
    </w:p>
    <w:p w:rsidR="00407AA1" w:rsidRPr="0050591A" w:rsidRDefault="00407AA1" w:rsidP="00407AA1">
      <w:pPr>
        <w:pStyle w:val="VENDOSI"/>
      </w:pPr>
      <w:r w:rsidRPr="0050591A">
        <w:t>V E N D O S I :</w:t>
      </w:r>
    </w:p>
    <w:p w:rsidR="00407AA1" w:rsidRPr="0050591A" w:rsidRDefault="00407AA1" w:rsidP="007828BE">
      <w:pPr>
        <w:pStyle w:val="Paragrafi"/>
      </w:pPr>
    </w:p>
    <w:p w:rsidR="00407AA1" w:rsidRPr="0050591A" w:rsidRDefault="00407AA1" w:rsidP="00407AA1">
      <w:pPr>
        <w:pStyle w:val="Paragrafi"/>
      </w:pPr>
      <w:r w:rsidRPr="0050591A">
        <w:t>Në ligjin nr. 8438, datë 28.12.1998 “Për tatimin mbi të ardhurat”  bëhen këto ndryshime: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NeniNr"/>
      </w:pPr>
      <w:r w:rsidRPr="0050591A">
        <w:t>Neni 1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Paragrafi"/>
      </w:pPr>
      <w:r w:rsidRPr="0050591A">
        <w:t xml:space="preserve">Neni 14 </w:t>
      </w:r>
      <w:r w:rsidRPr="0029067F">
        <w:rPr>
          <w:b/>
        </w:rPr>
        <w:t>“Shkeljet”</w:t>
      </w:r>
      <w:r w:rsidRPr="0050591A">
        <w:t xml:space="preserve"> ndryshohet si vijon:</w:t>
      </w:r>
    </w:p>
    <w:p w:rsidR="00407AA1" w:rsidRPr="0050591A" w:rsidRDefault="00407AA1" w:rsidP="00407AA1">
      <w:pPr>
        <w:pStyle w:val="Paragrafi"/>
      </w:pPr>
      <w:r w:rsidRPr="0050591A">
        <w:t xml:space="preserve">“Kundërvajtjet administrative. </w:t>
      </w:r>
    </w:p>
    <w:p w:rsidR="00407AA1" w:rsidRPr="0050591A" w:rsidRDefault="00407AA1" w:rsidP="00407AA1">
      <w:pPr>
        <w:pStyle w:val="Paragrafi"/>
      </w:pPr>
      <w:r w:rsidRPr="0050591A">
        <w:t>Veprimet ose mosveprimet e mëposhtme sipas kreut II të këtij ligji, kur nuk përbëjnë vepër penale, janë kundërvajtje administrative:</w:t>
      </w:r>
    </w:p>
    <w:p w:rsidR="00407AA1" w:rsidRPr="0050591A" w:rsidRDefault="00407AA1" w:rsidP="00407AA1">
      <w:pPr>
        <w:pStyle w:val="Paragrafi"/>
      </w:pPr>
      <w:r w:rsidRPr="0050591A">
        <w:t>a) Mosdokumentimi i pagesave të kryera, mosllogaritja  dhe mosmbajtja e tatimit në burim, si dhe fshehja ose falsifikimi i të dhënave për të ardhurat e paguara për çdo tatimpagues.</w:t>
      </w:r>
    </w:p>
    <w:p w:rsidR="00407AA1" w:rsidRPr="0050591A" w:rsidRDefault="00407AA1" w:rsidP="00407AA1">
      <w:pPr>
        <w:pStyle w:val="Paragrafi"/>
      </w:pPr>
      <w:r w:rsidRPr="0050591A">
        <w:t>b) Mosdeklarimi dhe mosderdhja në mënyrë korrekte e detyrimit për tatimin mbi të ardhurat personale nga individët që detyrohen të bëjnë një gjë të tillë, në zbatim të nenit 13 të këtij ligji.</w:t>
      </w:r>
    </w:p>
    <w:p w:rsidR="00407AA1" w:rsidRPr="0050591A" w:rsidRDefault="00407AA1" w:rsidP="00407AA1">
      <w:pPr>
        <w:pStyle w:val="Paragrafi"/>
      </w:pPr>
      <w:r w:rsidRPr="0050591A">
        <w:t>c) Mosderdhja në buxhetin e shtetit nga agjentët tatimorë të tatimit të llogaritur.</w:t>
      </w:r>
    </w:p>
    <w:p w:rsidR="00407AA1" w:rsidRPr="0050591A" w:rsidRDefault="00407AA1" w:rsidP="00407AA1">
      <w:pPr>
        <w:pStyle w:val="Paragrafi"/>
      </w:pPr>
      <w:r w:rsidRPr="0050591A">
        <w:t>ç) Mosmbajtja e regjistrimeve për të ardhurat e paguara tatimpaguesve dhe për tatimet e mbajtura, të cilat janë transferuar në buxhet, duke përfshirë mbajtjen e regjistrimeve për çdo tatimpagues.</w:t>
      </w:r>
    </w:p>
    <w:p w:rsidR="00407AA1" w:rsidRPr="0050591A" w:rsidRDefault="00407AA1" w:rsidP="00407AA1">
      <w:pPr>
        <w:pStyle w:val="Paragrafi"/>
      </w:pPr>
      <w:r w:rsidRPr="0050591A">
        <w:t>d) Paraqitja me vonesë e deklaratës së të ardhurave personale, e kërkuar në zbatim të nenit 13 të këtij ligji.</w:t>
      </w:r>
    </w:p>
    <w:p w:rsidR="00407AA1" w:rsidRPr="0050591A" w:rsidRDefault="00407AA1" w:rsidP="00407AA1">
      <w:pPr>
        <w:pStyle w:val="Paragrafi"/>
      </w:pPr>
      <w:r w:rsidRPr="0050591A">
        <w:t>dh) Mospagimi i detyrimeve tatimore në afatet e përcaktuara në këtë ligj.”</w:t>
      </w:r>
    </w:p>
    <w:p w:rsidR="00407AA1" w:rsidRPr="0050591A" w:rsidRDefault="00407AA1" w:rsidP="007828BE">
      <w:pPr>
        <w:pStyle w:val="Paragrafi"/>
      </w:pPr>
    </w:p>
    <w:p w:rsidR="00407AA1" w:rsidRPr="0050591A" w:rsidRDefault="00407AA1" w:rsidP="00407AA1">
      <w:pPr>
        <w:pStyle w:val="NeniNr"/>
      </w:pPr>
      <w:r w:rsidRPr="0050591A">
        <w:t>Neni 2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Paragrafi"/>
      </w:pPr>
      <w:r w:rsidRPr="0050591A">
        <w:t xml:space="preserve">Neni 15 </w:t>
      </w:r>
      <w:r w:rsidRPr="0029067F">
        <w:rPr>
          <w:b/>
        </w:rPr>
        <w:t>“Dënimet”</w:t>
      </w:r>
      <w:r w:rsidRPr="0050591A">
        <w:t xml:space="preserve"> ndryshohet si vijon:</w:t>
      </w:r>
    </w:p>
    <w:p w:rsidR="00407AA1" w:rsidRPr="0050591A" w:rsidRDefault="00407AA1" w:rsidP="00407AA1">
      <w:pPr>
        <w:pStyle w:val="Paragrafi"/>
      </w:pPr>
      <w:r w:rsidRPr="0050591A">
        <w:t>“Kundërvajtjet administrative të parashikuara në nenin 14 të këtij ligji dënohen si vijon:</w:t>
      </w:r>
    </w:p>
    <w:p w:rsidR="00407AA1" w:rsidRPr="0050591A" w:rsidRDefault="00407AA1" w:rsidP="00407AA1">
      <w:pPr>
        <w:pStyle w:val="Paragrafi"/>
      </w:pPr>
      <w:r w:rsidRPr="0050591A">
        <w:t>a) Për rastet e shkeljeve sipas shkronjave “a”, “b” dhe “c” të nenit 14, personat përgjegjës, përveç shumës së detyrimit të tatimit, paguajnë edhe një dënim të barabartë me shumën e këtij detyrimi tatimor.</w:t>
      </w:r>
    </w:p>
    <w:p w:rsidR="00407AA1" w:rsidRPr="0050591A" w:rsidRDefault="00407AA1" w:rsidP="00407AA1">
      <w:pPr>
        <w:pStyle w:val="Paragrafi"/>
      </w:pPr>
      <w:r w:rsidRPr="0050591A">
        <w:t>b) Për rastet e shkeljeve sipas shkronjës “ç” të nenit 14, personat përgjegjës dënohen me gjobë në masën 10 mijë lekë.</w:t>
      </w:r>
    </w:p>
    <w:p w:rsidR="00407AA1" w:rsidRPr="0050591A" w:rsidRDefault="00407AA1" w:rsidP="00407AA1">
      <w:pPr>
        <w:pStyle w:val="Paragrafi"/>
      </w:pPr>
      <w:r w:rsidRPr="0050591A">
        <w:t>c) Për rastet e shkeljeve sipas shkronjës “d” të nenit 14, personat përgjegjës dënohen me gjobë në masën 20 mijë lekë.</w:t>
      </w:r>
    </w:p>
    <w:p w:rsidR="00407AA1" w:rsidRPr="0050591A" w:rsidRDefault="00407AA1" w:rsidP="00407AA1">
      <w:pPr>
        <w:pStyle w:val="Paragrafi"/>
      </w:pPr>
      <w:r w:rsidRPr="0050591A">
        <w:t>ç) Për rastet e shkeljeve sipas shkronjës “dh” të nenit 14, personat përgjegjës paguajnë interesa për pagesë të vonuar në përputhje me ligjin nr.8560, datë 22.12.1999 “Për procedurat tatimore në Republikën e Shqipërisë”.</w:t>
      </w:r>
    </w:p>
    <w:p w:rsidR="00407AA1" w:rsidRPr="0050591A" w:rsidRDefault="00407AA1" w:rsidP="00407AA1">
      <w:pPr>
        <w:pStyle w:val="Paragrafi"/>
      </w:pPr>
      <w:r w:rsidRPr="0050591A">
        <w:t>Procedurat e ankimit dhe të ekzekutimit të masave administrative bëhen në përputhje me ligjin nr.8560, datë 22.12.1999 “Për procedurat tatimore në Republikën e Shqipërisë”.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NeniNr"/>
      </w:pPr>
      <w:r w:rsidRPr="0050591A">
        <w:t>Neni 3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Paragrafi"/>
      </w:pPr>
      <w:r w:rsidRPr="0050591A">
        <w:t xml:space="preserve">Neni 28 </w:t>
      </w:r>
      <w:r w:rsidRPr="0029067F">
        <w:rPr>
          <w:b/>
        </w:rPr>
        <w:t>“Shkalla tatimore”</w:t>
      </w:r>
      <w:r w:rsidRPr="0050591A">
        <w:t xml:space="preserve"> ndryshohet si vijon:</w:t>
      </w:r>
    </w:p>
    <w:p w:rsidR="00407AA1" w:rsidRPr="0050591A" w:rsidRDefault="00407AA1" w:rsidP="00407AA1">
      <w:pPr>
        <w:pStyle w:val="Paragrafi"/>
      </w:pPr>
      <w:r w:rsidRPr="0050591A">
        <w:t>“Shkalla tatimore e tatimit mbi fitimin është 25 për qind.”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NeniNr"/>
      </w:pPr>
      <w:r w:rsidRPr="0050591A">
        <w:t>Neni 4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Paragrafi"/>
      </w:pPr>
      <w:r w:rsidRPr="0050591A">
        <w:t xml:space="preserve">Në fund të paragrafit të parë të nenit 29 </w:t>
      </w:r>
      <w:r w:rsidRPr="0029067F">
        <w:rPr>
          <w:b/>
        </w:rPr>
        <w:t>“Deklarimi tatimor”</w:t>
      </w:r>
      <w:r w:rsidRPr="0050591A">
        <w:t xml:space="preserve"> shtohen:</w:t>
      </w:r>
    </w:p>
    <w:p w:rsidR="00407AA1" w:rsidRPr="0050591A" w:rsidRDefault="00407AA1" w:rsidP="00407AA1">
      <w:pPr>
        <w:pStyle w:val="Paragrafi"/>
      </w:pPr>
      <w:r w:rsidRPr="0050591A">
        <w:t>“Paraqitja e deklaratës vjetore e të ardhurave të tatueshme, e bilancit kontabël dhe e llogarisë së fitimeve dhe humbjeve nuk do të thotë miratim i të dhënave të tyre për qëllime fiskale nga ana e administratës tatimore edhe pse ato mund të jenë certifikuar nga ekspertë kontabël. Për qëllime fiskale të dhënat e këtyre dokumenteve konsiderohen të pranuara vetëm pasi ato të jenë kontrolluar nga ana e administratës tatimore.”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NeniNr"/>
      </w:pPr>
      <w:r w:rsidRPr="0050591A">
        <w:t>Neni 5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Paragrafi"/>
      </w:pPr>
      <w:r w:rsidRPr="0050591A">
        <w:t xml:space="preserve">Neni 31 </w:t>
      </w:r>
      <w:r w:rsidRPr="0029067F">
        <w:rPr>
          <w:b/>
        </w:rPr>
        <w:t>“Shkeljet”</w:t>
      </w:r>
      <w:r w:rsidRPr="0050591A">
        <w:t xml:space="preserve"> ndryshohet si vijon:</w:t>
      </w:r>
    </w:p>
    <w:p w:rsidR="00407AA1" w:rsidRPr="0050591A" w:rsidRDefault="00407AA1" w:rsidP="00407AA1">
      <w:pPr>
        <w:pStyle w:val="Paragrafi"/>
      </w:pPr>
      <w:r w:rsidRPr="0050591A">
        <w:t>“Kundërvajtjet administrative.</w:t>
      </w:r>
    </w:p>
    <w:p w:rsidR="00407AA1" w:rsidRPr="0050591A" w:rsidRDefault="00407AA1" w:rsidP="00407AA1">
      <w:pPr>
        <w:pStyle w:val="Paragrafi"/>
      </w:pPr>
      <w:r w:rsidRPr="0050591A">
        <w:t>Veprimet apo mosveprimet e mëposhtme, sipas Kreut III të këtij ligji, kur nuk përbëjnë vepër penale, janë kundërvajtje administrative:</w:t>
      </w:r>
    </w:p>
    <w:p w:rsidR="00407AA1" w:rsidRPr="0050591A" w:rsidRDefault="00407AA1" w:rsidP="00407AA1">
      <w:pPr>
        <w:pStyle w:val="Paragrafi"/>
      </w:pPr>
      <w:r w:rsidRPr="0050591A">
        <w:t>a) Mospasqyrimi i saktë i të ardhurave dhe shpenzimeve nga veprimtaria me efekt në rezultatin financiar.</w:t>
      </w:r>
    </w:p>
    <w:p w:rsidR="00407AA1" w:rsidRPr="0050591A" w:rsidRDefault="00407AA1" w:rsidP="00407AA1">
      <w:pPr>
        <w:pStyle w:val="Paragrafi"/>
      </w:pPr>
      <w:r w:rsidRPr="0050591A">
        <w:t>b) Falsifikimi i të dhënave dhe i dokumentacionit për të ardhurat dhe shpenzimet.</w:t>
      </w:r>
    </w:p>
    <w:p w:rsidR="00407AA1" w:rsidRPr="0050591A" w:rsidRDefault="00407AA1" w:rsidP="00407AA1">
      <w:pPr>
        <w:pStyle w:val="Paragrafi"/>
      </w:pPr>
      <w:r w:rsidRPr="0050591A">
        <w:t>c) Mosparaqitja brenda afatit kohor e deklaratës tatimore dhe e bilancit kontabël së bashku me anekset e tij.</w:t>
      </w:r>
    </w:p>
    <w:p w:rsidR="00407AA1" w:rsidRPr="0050591A" w:rsidRDefault="00407AA1" w:rsidP="00407AA1">
      <w:pPr>
        <w:pStyle w:val="Paragrafi"/>
      </w:pPr>
      <w:r w:rsidRPr="0050591A">
        <w:t>ç) Mosrespektimi i afatit të përcaktuar në këtë ligj për pagimin e tatimit.</w:t>
      </w:r>
    </w:p>
    <w:p w:rsidR="00407AA1" w:rsidRPr="0050591A" w:rsidRDefault="00407AA1" w:rsidP="00407AA1">
      <w:pPr>
        <w:pStyle w:val="Paragrafi"/>
      </w:pPr>
      <w:r w:rsidRPr="0050591A">
        <w:t>d) Mbajtja e gabuar e llogarive, pa pasoja në rezultatin finaciar.”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NeniNr"/>
      </w:pPr>
      <w:r w:rsidRPr="0050591A">
        <w:t>Neni 6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Paragrafi"/>
      </w:pPr>
      <w:r w:rsidRPr="0050591A">
        <w:t xml:space="preserve">Neni 32 </w:t>
      </w:r>
      <w:r w:rsidRPr="0029067F">
        <w:rPr>
          <w:b/>
        </w:rPr>
        <w:t>“Dënimet”</w:t>
      </w:r>
      <w:r w:rsidRPr="0050591A">
        <w:t xml:space="preserve"> ndryshohet si vijon:</w:t>
      </w:r>
    </w:p>
    <w:p w:rsidR="00407AA1" w:rsidRPr="0050591A" w:rsidRDefault="00407AA1" w:rsidP="00407AA1">
      <w:pPr>
        <w:pStyle w:val="Paragrafi"/>
      </w:pPr>
      <w:r w:rsidRPr="0050591A">
        <w:t>“Kundërvajtjet administrative të parashikuara në nenin 31 të këtij ligji, kur nuk përbëjnë vepër penale, janë kundërvajtje administrative dhe dënohen si vijon:</w:t>
      </w:r>
    </w:p>
    <w:p w:rsidR="00407AA1" w:rsidRPr="0050591A" w:rsidRDefault="00407AA1" w:rsidP="00407AA1">
      <w:pPr>
        <w:pStyle w:val="Paragrafi"/>
      </w:pPr>
      <w:r w:rsidRPr="0050591A">
        <w:t>a) Për rastet e shkeljeve sipas shkronjave “a” dhe “b” të nenit 31 të këtij ligji, personat përgjegjës, përveç shumës së detyrimit të tatimit, paguajnë edhe një dënim të barabartë me shumën e këtij detyrimi tatimor.</w:t>
      </w:r>
    </w:p>
    <w:p w:rsidR="00407AA1" w:rsidRPr="0050591A" w:rsidRDefault="00407AA1" w:rsidP="00407AA1">
      <w:pPr>
        <w:pStyle w:val="Paragrafi"/>
      </w:pPr>
      <w:r w:rsidRPr="0050591A">
        <w:t>b) Për rastet e shkeljeve sipas shkronjës “c” të nenit 31 të këtij ligji, personat përgjegjës dënohen me gjobë në masën 40 mijë lekë.</w:t>
      </w:r>
    </w:p>
    <w:p w:rsidR="00407AA1" w:rsidRPr="0050591A" w:rsidRDefault="00407AA1" w:rsidP="00407AA1">
      <w:pPr>
        <w:pStyle w:val="Paragrafi"/>
      </w:pPr>
      <w:r w:rsidRPr="0050591A">
        <w:t>c) Për rastet e shkeljeve sipas shkronjës “ç” të nenit 31 të këtij ligji, personat përgjegjës paguajnë interesa për pagesë të vonuar, në përputhje me ligjin nr.8560, datë 22.12.1999 “Për procedurat tatimore në Republikën e Shqipërisë”.</w:t>
      </w:r>
    </w:p>
    <w:p w:rsidR="00407AA1" w:rsidRPr="0050591A" w:rsidRDefault="00407AA1" w:rsidP="00407AA1">
      <w:pPr>
        <w:pStyle w:val="Paragrafi"/>
      </w:pPr>
      <w:r w:rsidRPr="0050591A">
        <w:t>ç)  Për rastet e shkeljeve sipas shkronjës “d” të nenit 31 të këtij ligji, personat përgjegjës  dënohen me gjobë 10 mijë lekë.</w:t>
      </w:r>
    </w:p>
    <w:p w:rsidR="00407AA1" w:rsidRPr="0050591A" w:rsidRDefault="00407AA1" w:rsidP="00407AA1">
      <w:pPr>
        <w:pStyle w:val="Paragrafi"/>
      </w:pPr>
      <w:r w:rsidRPr="0050591A">
        <w:t>Procedurat e ankimit dhe të ekzekutimit të masave administrative bëhen në përputhje me ligjin nr.8560, datë 22.12.1999 “Për procedurat tatimore në Republikën e Shqipërisë”.”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NeniNr"/>
      </w:pPr>
      <w:r w:rsidRPr="0050591A">
        <w:t>Neni 7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Paragrafi"/>
      </w:pPr>
      <w:r w:rsidRPr="0050591A">
        <w:t xml:space="preserve">Paragrafi 6 i nenit 38 </w:t>
      </w:r>
      <w:r w:rsidRPr="0029067F">
        <w:rPr>
          <w:b/>
        </w:rPr>
        <w:t>“Dispozita Kalimtare”</w:t>
      </w:r>
      <w:r w:rsidRPr="0050591A">
        <w:t xml:space="preserve"> ndryshohet si vijon:</w:t>
      </w:r>
    </w:p>
    <w:p w:rsidR="00407AA1" w:rsidRPr="0050591A" w:rsidRDefault="00407AA1" w:rsidP="00407AA1">
      <w:pPr>
        <w:pStyle w:val="Paragrafi"/>
      </w:pPr>
      <w:r w:rsidRPr="0050591A">
        <w:t>“Tatimpaguesit,  që kanë përfituar lehtësi tatimore në përputhje me nenin 6 të ligjit nr. 7677, datë 3.3.1993 “Për tatimin mbi fitimin”, i gëzojnë këto lehtësi sipas kushteve të parashikuara në ligjin e mësipërm.”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NeniNr"/>
      </w:pPr>
      <w:r w:rsidRPr="0050591A">
        <w:t>Neni 8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Paragrafi"/>
      </w:pPr>
      <w:r w:rsidRPr="0050591A">
        <w:t>Pasqyra nr.1 që i bashkëlidhet ligjit ekzistues, zëvendësohet me pasqyrën nr. 1 që i bashkëlidhet këtij ligji dhe është pjesë përbërëse e tij.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NeniNr"/>
      </w:pPr>
      <w:r w:rsidRPr="0050591A">
        <w:lastRenderedPageBreak/>
        <w:t>Neni 9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Paragrafi"/>
      </w:pPr>
      <w:r w:rsidRPr="0050591A">
        <w:t>Ky ligj hyn në fuqi 15 ditë pas botimit në “Fletoren Zyrtare”.</w:t>
      </w:r>
    </w:p>
    <w:p w:rsidR="00407AA1" w:rsidRPr="0050591A" w:rsidRDefault="00407AA1" w:rsidP="00407AA1">
      <w:pPr>
        <w:pStyle w:val="Paragrafi"/>
      </w:pPr>
    </w:p>
    <w:p w:rsidR="00407AA1" w:rsidRPr="0050591A" w:rsidRDefault="00407AA1" w:rsidP="00407AA1">
      <w:pPr>
        <w:pStyle w:val="Shpallja"/>
      </w:pPr>
      <w:r w:rsidRPr="0050591A">
        <w:t>Shpallur me dekretin nr.2848, datë 26.12.2000 të Presidentit të Republikës së Shqipërisë, Rexhep Meidani</w:t>
      </w:r>
    </w:p>
    <w:p w:rsidR="00407AA1" w:rsidRDefault="00407AA1" w:rsidP="00407AA1">
      <w:pPr>
        <w:pStyle w:val="Paragrafi"/>
      </w:pPr>
    </w:p>
    <w:p w:rsidR="007828BE" w:rsidRDefault="007828BE" w:rsidP="00407AA1">
      <w:pPr>
        <w:pStyle w:val="Paragrafi"/>
      </w:pPr>
    </w:p>
    <w:p w:rsidR="00407AA1" w:rsidRPr="0050591A" w:rsidRDefault="00407AA1" w:rsidP="00407AA1">
      <w:pPr>
        <w:pStyle w:val="TitulliNr"/>
      </w:pPr>
      <w:r w:rsidRPr="0050591A">
        <w:t>Pasqyra nr. 1</w:t>
      </w:r>
    </w:p>
    <w:p w:rsidR="00407AA1" w:rsidRPr="0050591A" w:rsidRDefault="00407AA1" w:rsidP="007828BE">
      <w:pPr>
        <w:pStyle w:val="Paragrafi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7"/>
        <w:gridCol w:w="5670"/>
      </w:tblGrid>
      <w:tr w:rsidR="00407AA1" w:rsidRPr="0050591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87" w:type="dxa"/>
          </w:tcPr>
          <w:p w:rsidR="00407AA1" w:rsidRPr="0050591A" w:rsidRDefault="00407AA1" w:rsidP="00407AA1">
            <w:pPr>
              <w:pStyle w:val="Tabele"/>
            </w:pPr>
            <w:smartTag w:uri="urn:schemas-microsoft-com:office:smarttags" w:element="place">
              <w:r w:rsidRPr="0050591A">
                <w:t>E ARDHURA</w:t>
              </w:r>
            </w:smartTag>
            <w:r w:rsidRPr="0050591A">
              <w:t xml:space="preserve"> </w:t>
            </w:r>
            <w:smartTag w:uri="urn:schemas-microsoft-com:office:smarttags" w:element="place">
              <w:r w:rsidRPr="0050591A">
                <w:t>E TATUESHME</w:t>
              </w:r>
            </w:smartTag>
          </w:p>
          <w:p w:rsidR="00407AA1" w:rsidRPr="0050591A" w:rsidRDefault="00407AA1" w:rsidP="00407AA1">
            <w:pPr>
              <w:pStyle w:val="Tabele"/>
            </w:pPr>
            <w:r w:rsidRPr="0050591A">
              <w:t>MUJORE</w:t>
            </w:r>
          </w:p>
        </w:tc>
        <w:tc>
          <w:tcPr>
            <w:tcW w:w="5670" w:type="dxa"/>
          </w:tcPr>
          <w:p w:rsidR="00407AA1" w:rsidRPr="0050591A" w:rsidRDefault="00407AA1" w:rsidP="00407AA1">
            <w:pPr>
              <w:pStyle w:val="Tabele"/>
            </w:pPr>
            <w:r w:rsidRPr="0050591A">
              <w:t>TATIMI MBI TË ARDHURËN PERSONALE</w:t>
            </w:r>
          </w:p>
          <w:p w:rsidR="00407AA1" w:rsidRPr="0050591A" w:rsidRDefault="00407AA1" w:rsidP="00407AA1">
            <w:pPr>
              <w:pStyle w:val="Tabele"/>
            </w:pPr>
            <w:r w:rsidRPr="0050591A">
              <w:t>MUJORE</w:t>
            </w:r>
          </w:p>
        </w:tc>
      </w:tr>
    </w:tbl>
    <w:p w:rsidR="00407AA1" w:rsidRPr="0050591A" w:rsidRDefault="00407AA1" w:rsidP="00407AA1">
      <w:pPr>
        <w:pStyle w:val="Paragrafi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127"/>
        <w:gridCol w:w="2301"/>
        <w:gridCol w:w="3369"/>
      </w:tblGrid>
      <w:tr w:rsidR="00407AA1" w:rsidRPr="0050591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60" w:type="dxa"/>
          </w:tcPr>
          <w:p w:rsidR="00407AA1" w:rsidRPr="0050591A" w:rsidRDefault="00407AA1" w:rsidP="00407AA1">
            <w:pPr>
              <w:pStyle w:val="Tabele"/>
            </w:pPr>
            <w:r w:rsidRPr="0050591A">
              <w:t>MBI</w:t>
            </w:r>
          </w:p>
          <w:p w:rsidR="00407AA1" w:rsidRPr="0050591A" w:rsidRDefault="00407AA1" w:rsidP="00407AA1">
            <w:pPr>
              <w:pStyle w:val="Tabele"/>
            </w:pPr>
            <w:r w:rsidRPr="0050591A">
              <w:t>(Në  lekë)</w:t>
            </w:r>
          </w:p>
        </w:tc>
        <w:tc>
          <w:tcPr>
            <w:tcW w:w="2127" w:type="dxa"/>
          </w:tcPr>
          <w:p w:rsidR="00407AA1" w:rsidRPr="0050591A" w:rsidRDefault="00407AA1" w:rsidP="00407AA1">
            <w:pPr>
              <w:pStyle w:val="Tabele"/>
            </w:pPr>
            <w:r w:rsidRPr="0050591A">
              <w:t>DERI</w:t>
            </w:r>
          </w:p>
          <w:p w:rsidR="00407AA1" w:rsidRPr="0050591A" w:rsidRDefault="00407AA1" w:rsidP="00407AA1">
            <w:pPr>
              <w:pStyle w:val="Tabele"/>
            </w:pPr>
            <w:r w:rsidRPr="0050591A">
              <w:t>(Në lekë)</w:t>
            </w:r>
          </w:p>
        </w:tc>
        <w:tc>
          <w:tcPr>
            <w:tcW w:w="2301" w:type="dxa"/>
          </w:tcPr>
          <w:p w:rsidR="00407AA1" w:rsidRPr="0050591A" w:rsidRDefault="00407AA1" w:rsidP="00407AA1">
            <w:pPr>
              <w:pStyle w:val="Tabele"/>
            </w:pPr>
            <w:r w:rsidRPr="0050591A">
              <w:t>Lekë</w:t>
            </w:r>
          </w:p>
        </w:tc>
        <w:tc>
          <w:tcPr>
            <w:tcW w:w="3369" w:type="dxa"/>
          </w:tcPr>
          <w:p w:rsidR="00407AA1" w:rsidRPr="0050591A" w:rsidRDefault="00407AA1" w:rsidP="00407AA1">
            <w:pPr>
              <w:pStyle w:val="Tabele"/>
            </w:pPr>
            <w:r w:rsidRPr="0050591A">
              <w:t>Përqindje</w:t>
            </w:r>
          </w:p>
        </w:tc>
      </w:tr>
      <w:tr w:rsidR="00407AA1" w:rsidRPr="0050591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60" w:type="dxa"/>
          </w:tcPr>
          <w:p w:rsidR="00407AA1" w:rsidRPr="0050591A" w:rsidRDefault="00407AA1" w:rsidP="00407AA1">
            <w:pPr>
              <w:pStyle w:val="Tabele"/>
            </w:pPr>
          </w:p>
        </w:tc>
        <w:tc>
          <w:tcPr>
            <w:tcW w:w="2127" w:type="dxa"/>
          </w:tcPr>
          <w:p w:rsidR="00407AA1" w:rsidRPr="0050591A" w:rsidRDefault="00407AA1" w:rsidP="00407AA1">
            <w:pPr>
              <w:pStyle w:val="Tabele"/>
            </w:pPr>
          </w:p>
        </w:tc>
        <w:tc>
          <w:tcPr>
            <w:tcW w:w="2301" w:type="dxa"/>
          </w:tcPr>
          <w:p w:rsidR="00407AA1" w:rsidRPr="0050591A" w:rsidRDefault="00407AA1" w:rsidP="00407AA1">
            <w:pPr>
              <w:pStyle w:val="Tabele"/>
            </w:pPr>
          </w:p>
        </w:tc>
        <w:tc>
          <w:tcPr>
            <w:tcW w:w="3369" w:type="dxa"/>
          </w:tcPr>
          <w:p w:rsidR="00407AA1" w:rsidRPr="0050591A" w:rsidRDefault="00407AA1" w:rsidP="00407AA1">
            <w:pPr>
              <w:pStyle w:val="Tabele"/>
            </w:pPr>
          </w:p>
        </w:tc>
      </w:tr>
      <w:tr w:rsidR="00407AA1" w:rsidRPr="0050591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60" w:type="dxa"/>
          </w:tcPr>
          <w:p w:rsidR="00407AA1" w:rsidRPr="0050591A" w:rsidRDefault="00407AA1" w:rsidP="00407AA1">
            <w:pPr>
              <w:pStyle w:val="Tabele"/>
            </w:pPr>
            <w:r w:rsidRPr="0050591A">
              <w:t>0</w:t>
            </w:r>
          </w:p>
        </w:tc>
        <w:tc>
          <w:tcPr>
            <w:tcW w:w="2127" w:type="dxa"/>
          </w:tcPr>
          <w:p w:rsidR="00407AA1" w:rsidRPr="0050591A" w:rsidRDefault="00407AA1" w:rsidP="00407AA1">
            <w:pPr>
              <w:pStyle w:val="Tabele"/>
            </w:pPr>
            <w:r w:rsidRPr="0050591A">
              <w:t>10 000</w:t>
            </w:r>
          </w:p>
        </w:tc>
        <w:tc>
          <w:tcPr>
            <w:tcW w:w="2301" w:type="dxa"/>
          </w:tcPr>
          <w:p w:rsidR="00407AA1" w:rsidRPr="0050591A" w:rsidRDefault="00407AA1" w:rsidP="00407AA1">
            <w:pPr>
              <w:pStyle w:val="Tabele"/>
            </w:pPr>
          </w:p>
        </w:tc>
        <w:tc>
          <w:tcPr>
            <w:tcW w:w="3369" w:type="dxa"/>
          </w:tcPr>
          <w:p w:rsidR="00407AA1" w:rsidRPr="0050591A" w:rsidRDefault="00407AA1" w:rsidP="00407AA1">
            <w:pPr>
              <w:pStyle w:val="Tabele"/>
            </w:pPr>
            <w:r w:rsidRPr="0050591A">
              <w:t>Pragu përjashtues</w:t>
            </w:r>
          </w:p>
        </w:tc>
      </w:tr>
      <w:tr w:rsidR="00407AA1" w:rsidRPr="0050591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60" w:type="dxa"/>
          </w:tcPr>
          <w:p w:rsidR="00407AA1" w:rsidRPr="0050591A" w:rsidRDefault="00407AA1" w:rsidP="00407AA1">
            <w:pPr>
              <w:pStyle w:val="Tabele"/>
            </w:pPr>
            <w:r w:rsidRPr="0050591A">
              <w:t>10 000 +</w:t>
            </w:r>
          </w:p>
        </w:tc>
        <w:tc>
          <w:tcPr>
            <w:tcW w:w="2127" w:type="dxa"/>
          </w:tcPr>
          <w:p w:rsidR="00407AA1" w:rsidRPr="0050591A" w:rsidRDefault="00407AA1" w:rsidP="00407AA1">
            <w:pPr>
              <w:pStyle w:val="Tabele"/>
            </w:pPr>
            <w:r w:rsidRPr="0050591A">
              <w:t>20 000</w:t>
            </w:r>
          </w:p>
        </w:tc>
        <w:tc>
          <w:tcPr>
            <w:tcW w:w="2301" w:type="dxa"/>
          </w:tcPr>
          <w:p w:rsidR="00407AA1" w:rsidRPr="0050591A" w:rsidRDefault="00407AA1" w:rsidP="00407AA1">
            <w:pPr>
              <w:pStyle w:val="Tabele"/>
            </w:pPr>
            <w:r w:rsidRPr="0050591A">
              <w:t>0</w:t>
            </w:r>
          </w:p>
        </w:tc>
        <w:tc>
          <w:tcPr>
            <w:tcW w:w="3369" w:type="dxa"/>
          </w:tcPr>
          <w:p w:rsidR="00407AA1" w:rsidRPr="0050591A" w:rsidRDefault="00407AA1" w:rsidP="00407AA1">
            <w:pPr>
              <w:pStyle w:val="Tabele"/>
            </w:pPr>
            <w:r w:rsidRPr="0050591A">
              <w:t>+ 5 % të shumës mbi 10 000</w:t>
            </w:r>
          </w:p>
        </w:tc>
      </w:tr>
      <w:tr w:rsidR="00407AA1" w:rsidRPr="0050591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60" w:type="dxa"/>
          </w:tcPr>
          <w:p w:rsidR="00407AA1" w:rsidRPr="0050591A" w:rsidRDefault="00407AA1" w:rsidP="00407AA1">
            <w:pPr>
              <w:pStyle w:val="Tabele"/>
            </w:pPr>
            <w:r w:rsidRPr="0050591A">
              <w:t>20 000 +</w:t>
            </w:r>
          </w:p>
        </w:tc>
        <w:tc>
          <w:tcPr>
            <w:tcW w:w="2127" w:type="dxa"/>
          </w:tcPr>
          <w:p w:rsidR="00407AA1" w:rsidRPr="0050591A" w:rsidRDefault="00407AA1" w:rsidP="00407AA1">
            <w:pPr>
              <w:pStyle w:val="Tabele"/>
            </w:pPr>
            <w:r w:rsidRPr="0050591A">
              <w:t>30 000</w:t>
            </w:r>
          </w:p>
        </w:tc>
        <w:tc>
          <w:tcPr>
            <w:tcW w:w="2301" w:type="dxa"/>
          </w:tcPr>
          <w:p w:rsidR="00407AA1" w:rsidRPr="0050591A" w:rsidRDefault="00407AA1" w:rsidP="00407AA1">
            <w:pPr>
              <w:pStyle w:val="Tabele"/>
            </w:pPr>
            <w:r w:rsidRPr="0050591A">
              <w:t>500</w:t>
            </w:r>
          </w:p>
        </w:tc>
        <w:tc>
          <w:tcPr>
            <w:tcW w:w="3369" w:type="dxa"/>
          </w:tcPr>
          <w:p w:rsidR="00407AA1" w:rsidRPr="0050591A" w:rsidRDefault="00407AA1" w:rsidP="00407AA1">
            <w:pPr>
              <w:pStyle w:val="Tabele"/>
            </w:pPr>
            <w:r w:rsidRPr="0050591A">
              <w:t>+ 10 % të shumës mbi 20 000</w:t>
            </w:r>
          </w:p>
        </w:tc>
      </w:tr>
      <w:tr w:rsidR="00407AA1" w:rsidRPr="0050591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60" w:type="dxa"/>
          </w:tcPr>
          <w:p w:rsidR="00407AA1" w:rsidRPr="0050591A" w:rsidRDefault="00407AA1" w:rsidP="00407AA1">
            <w:pPr>
              <w:pStyle w:val="Tabele"/>
            </w:pPr>
            <w:r w:rsidRPr="0050591A">
              <w:t>30 000 +</w:t>
            </w:r>
          </w:p>
        </w:tc>
        <w:tc>
          <w:tcPr>
            <w:tcW w:w="2127" w:type="dxa"/>
          </w:tcPr>
          <w:p w:rsidR="00407AA1" w:rsidRPr="0050591A" w:rsidRDefault="00407AA1" w:rsidP="00407AA1">
            <w:pPr>
              <w:pStyle w:val="Tabele"/>
            </w:pPr>
            <w:r w:rsidRPr="0050591A">
              <w:t>50 000</w:t>
            </w:r>
          </w:p>
        </w:tc>
        <w:tc>
          <w:tcPr>
            <w:tcW w:w="2301" w:type="dxa"/>
          </w:tcPr>
          <w:p w:rsidR="00407AA1" w:rsidRPr="0050591A" w:rsidRDefault="00407AA1" w:rsidP="00407AA1">
            <w:pPr>
              <w:pStyle w:val="Tabele"/>
            </w:pPr>
            <w:r w:rsidRPr="0050591A">
              <w:t>1 500</w:t>
            </w:r>
          </w:p>
        </w:tc>
        <w:tc>
          <w:tcPr>
            <w:tcW w:w="3369" w:type="dxa"/>
          </w:tcPr>
          <w:p w:rsidR="00407AA1" w:rsidRPr="0050591A" w:rsidRDefault="00407AA1" w:rsidP="00407AA1">
            <w:pPr>
              <w:pStyle w:val="Tabele"/>
            </w:pPr>
            <w:r w:rsidRPr="0050591A">
              <w:t>+ 15 % të shumës mbi 30 000</w:t>
            </w:r>
          </w:p>
        </w:tc>
      </w:tr>
      <w:tr w:rsidR="00407AA1" w:rsidRPr="0050591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60" w:type="dxa"/>
          </w:tcPr>
          <w:p w:rsidR="00407AA1" w:rsidRPr="0050591A" w:rsidRDefault="00407AA1" w:rsidP="00407AA1">
            <w:pPr>
              <w:pStyle w:val="Tabele"/>
            </w:pPr>
            <w:r w:rsidRPr="0050591A">
              <w:t>50 000 +</w:t>
            </w:r>
          </w:p>
        </w:tc>
        <w:tc>
          <w:tcPr>
            <w:tcW w:w="2127" w:type="dxa"/>
          </w:tcPr>
          <w:p w:rsidR="00407AA1" w:rsidRPr="0050591A" w:rsidRDefault="00407AA1" w:rsidP="00407AA1">
            <w:pPr>
              <w:pStyle w:val="Tabele"/>
            </w:pPr>
            <w:r w:rsidRPr="0050591A">
              <w:t>80 000</w:t>
            </w:r>
          </w:p>
        </w:tc>
        <w:tc>
          <w:tcPr>
            <w:tcW w:w="2301" w:type="dxa"/>
          </w:tcPr>
          <w:p w:rsidR="00407AA1" w:rsidRPr="0050591A" w:rsidRDefault="00407AA1" w:rsidP="00407AA1">
            <w:pPr>
              <w:pStyle w:val="Tabele"/>
            </w:pPr>
            <w:r w:rsidRPr="0050591A">
              <w:t>4 500</w:t>
            </w:r>
          </w:p>
        </w:tc>
        <w:tc>
          <w:tcPr>
            <w:tcW w:w="3369" w:type="dxa"/>
          </w:tcPr>
          <w:p w:rsidR="00407AA1" w:rsidRPr="0050591A" w:rsidRDefault="00407AA1" w:rsidP="00407AA1">
            <w:pPr>
              <w:pStyle w:val="Tabele"/>
            </w:pPr>
            <w:r w:rsidRPr="0050591A">
              <w:t>+20 % të shumës mbi 50 000</w:t>
            </w:r>
          </w:p>
        </w:tc>
      </w:tr>
      <w:tr w:rsidR="00407AA1" w:rsidRPr="0050591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60" w:type="dxa"/>
          </w:tcPr>
          <w:p w:rsidR="00407AA1" w:rsidRPr="0050591A" w:rsidRDefault="00407AA1" w:rsidP="00407AA1">
            <w:pPr>
              <w:pStyle w:val="Tabele"/>
            </w:pPr>
            <w:r w:rsidRPr="0050591A">
              <w:t>80 000 +</w:t>
            </w:r>
          </w:p>
        </w:tc>
        <w:tc>
          <w:tcPr>
            <w:tcW w:w="2127" w:type="dxa"/>
          </w:tcPr>
          <w:p w:rsidR="00407AA1" w:rsidRPr="0050591A" w:rsidRDefault="00407AA1" w:rsidP="00407AA1">
            <w:pPr>
              <w:pStyle w:val="Tabele"/>
            </w:pPr>
            <w:r w:rsidRPr="0050591A">
              <w:t>Më tepër</w:t>
            </w:r>
          </w:p>
        </w:tc>
        <w:tc>
          <w:tcPr>
            <w:tcW w:w="2301" w:type="dxa"/>
          </w:tcPr>
          <w:p w:rsidR="00407AA1" w:rsidRPr="0050591A" w:rsidRDefault="00407AA1" w:rsidP="00407AA1">
            <w:pPr>
              <w:pStyle w:val="Tabele"/>
            </w:pPr>
            <w:r w:rsidRPr="0050591A">
              <w:t>10 5000</w:t>
            </w:r>
          </w:p>
        </w:tc>
        <w:tc>
          <w:tcPr>
            <w:tcW w:w="3369" w:type="dxa"/>
          </w:tcPr>
          <w:p w:rsidR="00407AA1" w:rsidRPr="0050591A" w:rsidRDefault="00407AA1" w:rsidP="00407AA1">
            <w:pPr>
              <w:pStyle w:val="Tabele"/>
            </w:pPr>
            <w:r w:rsidRPr="0050591A">
              <w:t>+ 25 % të shumës mbi 80 000</w:t>
            </w:r>
          </w:p>
        </w:tc>
      </w:tr>
    </w:tbl>
    <w:p w:rsidR="00A0784B" w:rsidRPr="007732C8" w:rsidRDefault="00A0784B" w:rsidP="0029067F">
      <w:pPr>
        <w:pStyle w:val="Paragrafi"/>
      </w:pP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9067F"/>
    <w:rsid w:val="002C6BAB"/>
    <w:rsid w:val="00304413"/>
    <w:rsid w:val="00383FD5"/>
    <w:rsid w:val="003E06F6"/>
    <w:rsid w:val="003F043A"/>
    <w:rsid w:val="00407AA1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473F"/>
    <w:rsid w:val="00705463"/>
    <w:rsid w:val="0074183C"/>
    <w:rsid w:val="00767527"/>
    <w:rsid w:val="007732C8"/>
    <w:rsid w:val="007828BE"/>
    <w:rsid w:val="007B0B5A"/>
    <w:rsid w:val="0080475E"/>
    <w:rsid w:val="008072B9"/>
    <w:rsid w:val="008105AD"/>
    <w:rsid w:val="00841EC5"/>
    <w:rsid w:val="008521B4"/>
    <w:rsid w:val="00872000"/>
    <w:rsid w:val="00881600"/>
    <w:rsid w:val="009163AA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C1BD83-20E4-43D1-BE7E-D03D0B72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AA1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2019-03-14T11:18:00Z</dcterms:created>
  <dcterms:modified xsi:type="dcterms:W3CDTF">2019-03-14T11:18:00Z</dcterms:modified>
</cp:coreProperties>
</file>