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33FE" w:rsidRPr="00A30D02" w:rsidRDefault="00EF33FE" w:rsidP="00EF33FE">
      <w:pPr>
        <w:pStyle w:val="Akti"/>
      </w:pPr>
      <w:bookmarkStart w:id="0" w:name="_GoBack"/>
      <w:bookmarkEnd w:id="0"/>
      <w:r w:rsidRPr="00A30D02">
        <w:t>L I G J</w:t>
      </w:r>
    </w:p>
    <w:p w:rsidR="00EF33FE" w:rsidRPr="00A30D02" w:rsidRDefault="00EF33FE" w:rsidP="00EF33FE">
      <w:pPr>
        <w:pStyle w:val="NumriData"/>
      </w:pPr>
      <w:r w:rsidRPr="00A30D02">
        <w:t>Nr. 8845, datë 11.12.2001</w:t>
      </w:r>
    </w:p>
    <w:p w:rsidR="00EF33FE" w:rsidRPr="00A30D02" w:rsidRDefault="00EF33FE" w:rsidP="00EF33FE">
      <w:pPr>
        <w:pStyle w:val="Paragrafi"/>
      </w:pPr>
    </w:p>
    <w:p w:rsidR="00EF33FE" w:rsidRPr="00A30D02" w:rsidRDefault="00EF33FE" w:rsidP="00EF33FE">
      <w:pPr>
        <w:pStyle w:val="Titulli"/>
      </w:pPr>
      <w:r w:rsidRPr="00A30D02">
        <w:t xml:space="preserve">PËR DISA SHTESA DHE NDRYSHIME NË LIGJIN NR.7928, DATË 27.4.1995 "PËR TATIMIN MBI VLERËN E SHTUAR", NDRYSHUAR ME LIGJET NR.8070, DATË 15.2.1996; NR.8126, DATË 9.7.1996; NR.8130, DATË 22.7.1996; NR.8149, DATË 11.9.1996; NR.8160, DATË 7.11.1996; NR.8186, DATË 23.1.1997; NR.8201, DATË 20.3.1997; NR.8140, DATË 16.9.1997; NR.8445, DATË 21.1.1999; NR.8505, DATË 7.7.1999; NR.8714, </w:t>
      </w:r>
    </w:p>
    <w:p w:rsidR="00EF33FE" w:rsidRPr="00A30D02" w:rsidRDefault="00EF33FE" w:rsidP="00EF33FE">
      <w:pPr>
        <w:pStyle w:val="Titulli"/>
      </w:pPr>
      <w:r w:rsidRPr="00A30D02">
        <w:t>DATË 15.12.2000 DHE NR.8779, DATË 26.4.2001</w:t>
      </w:r>
    </w:p>
    <w:p w:rsidR="00EF33FE" w:rsidRPr="00A30D02" w:rsidRDefault="00EF33FE" w:rsidP="00EF33FE">
      <w:pPr>
        <w:pStyle w:val="Paragrafi"/>
      </w:pPr>
    </w:p>
    <w:p w:rsidR="00EF33FE" w:rsidRPr="00A30D02" w:rsidRDefault="00EF33FE" w:rsidP="00EF33FE">
      <w:pPr>
        <w:pStyle w:val="BazLigjPropozues"/>
      </w:pPr>
      <w:r w:rsidRPr="00A30D02">
        <w:t>Në mbështetje të neneve 78, 81 pika 1, 83 pika 1 dhe 155 të Kushtetutës, me propozimin e Këshillit të Ministrave,</w:t>
      </w:r>
    </w:p>
    <w:p w:rsidR="00EF33FE" w:rsidRPr="00A30D02" w:rsidRDefault="00EF33FE" w:rsidP="00EF33FE">
      <w:pPr>
        <w:pStyle w:val="Paragrafi"/>
      </w:pPr>
    </w:p>
    <w:p w:rsidR="00EF33FE" w:rsidRPr="00A30D02" w:rsidRDefault="00EF33FE" w:rsidP="00EF33FE">
      <w:pPr>
        <w:pStyle w:val="Institucioni"/>
      </w:pPr>
      <w:r w:rsidRPr="00A30D02">
        <w:t>K U V E N D I</w:t>
      </w:r>
    </w:p>
    <w:p w:rsidR="00EF33FE" w:rsidRPr="00A30D02" w:rsidRDefault="00EF33FE" w:rsidP="00EF33FE">
      <w:pPr>
        <w:pStyle w:val="Paragrafi"/>
      </w:pPr>
    </w:p>
    <w:p w:rsidR="00EF33FE" w:rsidRPr="00A30D02" w:rsidRDefault="00EF33FE" w:rsidP="00EF33FE">
      <w:pPr>
        <w:pStyle w:val="VENDOSI"/>
      </w:pPr>
      <w:r w:rsidRPr="00A30D02">
        <w:t>I REPUBLIKËS SË SHQIPËRISE</w:t>
      </w:r>
    </w:p>
    <w:p w:rsidR="00EF33FE" w:rsidRPr="00A30D02" w:rsidRDefault="00EF33FE" w:rsidP="00EF33FE">
      <w:pPr>
        <w:pStyle w:val="VENDOSI"/>
      </w:pPr>
      <w:r w:rsidRPr="00A30D02">
        <w:t>V E N D O S I:</w:t>
      </w:r>
    </w:p>
    <w:p w:rsidR="00EF33FE" w:rsidRPr="00A30D02" w:rsidRDefault="00EF33FE" w:rsidP="00EF33FE">
      <w:pPr>
        <w:pStyle w:val="Paragrafi"/>
      </w:pPr>
    </w:p>
    <w:p w:rsidR="00EF33FE" w:rsidRPr="00A30D02" w:rsidRDefault="00EF33FE" w:rsidP="00EF33FE">
      <w:pPr>
        <w:pStyle w:val="Paragrafi"/>
      </w:pPr>
      <w:r w:rsidRPr="00A30D02">
        <w:t>Në ligjin nr.7928, datë 27.4.1995 "Për tatimin mbi vlerën e shtuar</w:t>
      </w:r>
      <w:r w:rsidRPr="00A30D02">
        <w:rPr>
          <w:cs/>
        </w:rPr>
        <w:t>",</w:t>
      </w:r>
      <w:r w:rsidRPr="00A30D02">
        <w:t xml:space="preserve"> ndryshuar me ligjet nr.8070, datë 15.2.1996; nr.8126, datë 9.7.1996; nr.8130, datë 22.7.1996; nr.8149, datë 11.9.1996; nr.8160, datë 7.11.1996; nr.8186, datë 23.1.1997; nr.8201, datë 20.3.1997; nr.8140, datë 16.9.1997; nr.8445, datë 21.1.1999; nr.8505, datë 7.7.1999; nr.8714, datë 15.12.2000 dhe nr.8779, datë 26.4.2001 bëhen këto shtesa dhe ndryshime:</w:t>
      </w:r>
    </w:p>
    <w:p w:rsidR="00EF33FE" w:rsidRPr="00A30D02" w:rsidRDefault="00EF33FE" w:rsidP="00EF33FE">
      <w:pPr>
        <w:pStyle w:val="Paragrafi"/>
      </w:pPr>
    </w:p>
    <w:p w:rsidR="00EF33FE" w:rsidRPr="00A30D02" w:rsidRDefault="00EF33FE" w:rsidP="00EF33FE">
      <w:pPr>
        <w:pStyle w:val="NeniNr"/>
      </w:pPr>
      <w:r w:rsidRPr="00A30D02">
        <w:t>Neni 1</w:t>
      </w:r>
    </w:p>
    <w:p w:rsidR="00EF33FE" w:rsidRPr="00A30D02" w:rsidRDefault="00EF33FE" w:rsidP="00EF33FE">
      <w:pPr>
        <w:pStyle w:val="Paragrafi"/>
      </w:pPr>
    </w:p>
    <w:p w:rsidR="00EF33FE" w:rsidRPr="00A30D02" w:rsidRDefault="00EF33FE" w:rsidP="00EF33FE">
      <w:pPr>
        <w:pStyle w:val="Paragrafi"/>
      </w:pPr>
      <w:r w:rsidRPr="00A30D02">
        <w:t>Në nenin 7 shtohet pika 7 me këtë përmbajtje:</w:t>
      </w:r>
    </w:p>
    <w:p w:rsidR="00EF33FE" w:rsidRPr="00A30D02" w:rsidRDefault="00EF33FE" w:rsidP="00EF33FE">
      <w:pPr>
        <w:pStyle w:val="Paragrafi"/>
      </w:pPr>
      <w:r w:rsidRPr="00A30D02">
        <w:t xml:space="preserve">"7. Në çastin e çregjistrimit, personi i tatueshëm është i detyruar të paraqesë një formular deklarimi dhe pagese përfundimtare, i cili përmban informacionet që kërkohen nga organi tatimor. </w:t>
      </w:r>
      <w:r w:rsidRPr="00A30D02">
        <w:rPr>
          <w:cs/>
        </w:rPr>
        <w:t>".</w:t>
      </w:r>
    </w:p>
    <w:p w:rsidR="00EF33FE" w:rsidRDefault="00EF33FE" w:rsidP="00EF33FE">
      <w:pPr>
        <w:pStyle w:val="Paragrafi"/>
      </w:pPr>
    </w:p>
    <w:p w:rsidR="00EF33FE" w:rsidRPr="00A30D02" w:rsidRDefault="00EF33FE" w:rsidP="00EF33FE">
      <w:pPr>
        <w:pStyle w:val="NeniNr"/>
      </w:pPr>
      <w:r w:rsidRPr="00A30D02">
        <w:t>Neni 2</w:t>
      </w:r>
    </w:p>
    <w:p w:rsidR="00EF33FE" w:rsidRPr="00A30D02" w:rsidRDefault="00EF33FE" w:rsidP="00EF33FE">
      <w:pPr>
        <w:pStyle w:val="Paragrafi"/>
      </w:pPr>
    </w:p>
    <w:p w:rsidR="00EF33FE" w:rsidRPr="00A30D02" w:rsidRDefault="00EF33FE" w:rsidP="00EF33FE">
      <w:pPr>
        <w:pStyle w:val="Paragrafi"/>
      </w:pPr>
      <w:r w:rsidRPr="00A30D02">
        <w:t>Pika 1 e nenit 8 ndryshohet si më poshtë:</w:t>
      </w:r>
    </w:p>
    <w:p w:rsidR="00EF33FE" w:rsidRPr="00A30D02" w:rsidRDefault="00EF33FE" w:rsidP="00EF33FE">
      <w:pPr>
        <w:pStyle w:val="Paragrafi"/>
        <w:rPr>
          <w:cs/>
        </w:rPr>
      </w:pPr>
      <w:r w:rsidRPr="00A30D02">
        <w:rPr>
          <w:cs/>
        </w:rPr>
        <w:t>"</w:t>
      </w:r>
      <w:r w:rsidRPr="00A30D02">
        <w:t>1. Me furnizim mallrash kuptohet transferimi i të drejtës për të zotëruar si pronar pasurinë e luajtshme ose të paluajtshme, përveç rasteve që në këtë ligj përcaktohet ndryshe.</w:t>
      </w:r>
      <w:r w:rsidRPr="00A30D02">
        <w:rPr>
          <w:cs/>
        </w:rPr>
        <w:t>".</w:t>
      </w:r>
    </w:p>
    <w:p w:rsidR="00EF33FE" w:rsidRPr="00A30D02" w:rsidRDefault="00EF33FE" w:rsidP="00EF33FE">
      <w:pPr>
        <w:pStyle w:val="Paragrafi"/>
      </w:pPr>
    </w:p>
    <w:p w:rsidR="00EF33FE" w:rsidRPr="00A30D02" w:rsidRDefault="00EF33FE" w:rsidP="00EF33FE">
      <w:pPr>
        <w:pStyle w:val="NeniNr"/>
      </w:pPr>
      <w:r w:rsidRPr="00A30D02">
        <w:t>Neni 3</w:t>
      </w:r>
    </w:p>
    <w:p w:rsidR="00EF33FE" w:rsidRPr="00A30D02" w:rsidRDefault="00EF33FE" w:rsidP="00EF33FE">
      <w:pPr>
        <w:pStyle w:val="Paragrafi"/>
      </w:pPr>
    </w:p>
    <w:p w:rsidR="00EF33FE" w:rsidRPr="00A30D02" w:rsidRDefault="00EF33FE" w:rsidP="00EF33FE">
      <w:pPr>
        <w:pStyle w:val="Paragrafi"/>
      </w:pPr>
      <w:r w:rsidRPr="00A30D02">
        <w:t>Pika 1 e nenit 9 ndryshohet si më poshtë:</w:t>
      </w:r>
    </w:p>
    <w:p w:rsidR="00EF33FE" w:rsidRPr="00A30D02" w:rsidRDefault="00EF33FE" w:rsidP="00EF33FE">
      <w:pPr>
        <w:pStyle w:val="Paragrafi"/>
      </w:pPr>
      <w:r w:rsidRPr="00A30D02">
        <w:t xml:space="preserve">"1. Me furnizim shërbimesh kuptohet çdo furnizim që nuk është furnizim mallrash, përveç rasteve që në këtë ligj përcaktohet ndryshe. </w:t>
      </w:r>
      <w:r w:rsidRPr="00A30D02">
        <w:rPr>
          <w:cs/>
        </w:rPr>
        <w:t>".</w:t>
      </w:r>
    </w:p>
    <w:p w:rsidR="00EF33FE" w:rsidRPr="00A30D02" w:rsidRDefault="00EF33FE" w:rsidP="00EF33FE">
      <w:pPr>
        <w:pStyle w:val="Paragrafi"/>
      </w:pPr>
    </w:p>
    <w:p w:rsidR="00EF33FE" w:rsidRPr="00A30D02" w:rsidRDefault="00EF33FE" w:rsidP="00EF33FE">
      <w:pPr>
        <w:pStyle w:val="NeniNr"/>
      </w:pPr>
      <w:r w:rsidRPr="00A30D02">
        <w:t>Neni 4</w:t>
      </w:r>
    </w:p>
    <w:p w:rsidR="00EF33FE" w:rsidRPr="00A30D02" w:rsidRDefault="00EF33FE" w:rsidP="00EF33FE">
      <w:pPr>
        <w:pStyle w:val="Paragrafi"/>
      </w:pPr>
    </w:p>
    <w:p w:rsidR="00EF33FE" w:rsidRPr="00A30D02" w:rsidRDefault="00EF33FE" w:rsidP="00EF33FE">
      <w:pPr>
        <w:pStyle w:val="Paragrafi"/>
      </w:pPr>
      <w:r w:rsidRPr="00A30D02">
        <w:t>Në pikën 6 të nenit 13 shtohet:</w:t>
      </w:r>
    </w:p>
    <w:p w:rsidR="00EF33FE" w:rsidRPr="00A30D02" w:rsidRDefault="00EF33FE" w:rsidP="00EF33FE">
      <w:pPr>
        <w:pStyle w:val="Paragrafi"/>
        <w:rPr>
          <w:cs/>
        </w:rPr>
      </w:pPr>
      <w:r w:rsidRPr="00A30D02">
        <w:t>"Në ndërtim fatura tatimore duhet lëshuar çdo muaj.</w:t>
      </w:r>
      <w:r w:rsidRPr="00A30D02">
        <w:rPr>
          <w:cs/>
        </w:rPr>
        <w:t>".</w:t>
      </w:r>
    </w:p>
    <w:p w:rsidR="00EF33FE" w:rsidRPr="00A30D02" w:rsidRDefault="00EF33FE" w:rsidP="00EF33FE">
      <w:pPr>
        <w:pStyle w:val="Paragrafi"/>
      </w:pPr>
    </w:p>
    <w:p w:rsidR="00EF33FE" w:rsidRPr="00A30D02" w:rsidRDefault="00EF33FE" w:rsidP="00EF33FE">
      <w:pPr>
        <w:pStyle w:val="NeniNr"/>
      </w:pPr>
      <w:r w:rsidRPr="00A30D02">
        <w:t>Neni 5</w:t>
      </w:r>
    </w:p>
    <w:p w:rsidR="00EF33FE" w:rsidRPr="00A30D02" w:rsidRDefault="00EF33FE" w:rsidP="00EF33FE">
      <w:pPr>
        <w:pStyle w:val="Paragrafi"/>
      </w:pPr>
    </w:p>
    <w:p w:rsidR="00EF33FE" w:rsidRPr="00A30D02" w:rsidRDefault="00EF33FE" w:rsidP="00EF33FE">
      <w:pPr>
        <w:pStyle w:val="Paragrafi"/>
      </w:pPr>
      <w:r w:rsidRPr="00A30D02">
        <w:t>Në pikën 2 të nenit 18 shtohet paragrafi me këtë përmbajtje:</w:t>
      </w:r>
    </w:p>
    <w:p w:rsidR="00EF33FE" w:rsidRPr="00A30D02" w:rsidRDefault="00EF33FE" w:rsidP="00EF33FE">
      <w:pPr>
        <w:pStyle w:val="Paragrafi"/>
      </w:pPr>
    </w:p>
    <w:p w:rsidR="00EF33FE" w:rsidRPr="00A30D02" w:rsidRDefault="00EF33FE" w:rsidP="00EF33FE">
      <w:pPr>
        <w:pStyle w:val="Paragrafi"/>
      </w:pPr>
      <w:r w:rsidRPr="00A30D02">
        <w:t>"Në rastet e çregjistrimit, të gjitha mallrat e furnizuara për personin e tatueshëm dhe ende në pronësi të personit të tatueshëm, për qëllimet e veprimtarisë së vet ekonomike, dhe të gjitha mallrat gjendje të personit të tatueshëm trajtohen si furnizim i atyre mallrave kundrejt pagesës në datën e çregjistrimit.</w:t>
      </w:r>
      <w:r w:rsidRPr="00A30D02">
        <w:rPr>
          <w:cs/>
        </w:rPr>
        <w:t>".</w:t>
      </w:r>
    </w:p>
    <w:p w:rsidR="00EF33FE" w:rsidRPr="00A30D02" w:rsidRDefault="00EF33FE" w:rsidP="00EF33FE">
      <w:pPr>
        <w:pStyle w:val="Paragrafi"/>
      </w:pPr>
    </w:p>
    <w:p w:rsidR="00EF33FE" w:rsidRPr="00A30D02" w:rsidRDefault="00EF33FE" w:rsidP="00EF33FE">
      <w:pPr>
        <w:pStyle w:val="NeniNr"/>
      </w:pPr>
      <w:r w:rsidRPr="00A30D02">
        <w:t>Neni 6</w:t>
      </w:r>
    </w:p>
    <w:p w:rsidR="00EF33FE" w:rsidRPr="00A30D02" w:rsidRDefault="00EF33FE" w:rsidP="00EF33FE">
      <w:pPr>
        <w:pStyle w:val="Paragrafi"/>
      </w:pPr>
    </w:p>
    <w:p w:rsidR="00EF33FE" w:rsidRDefault="00EF33FE" w:rsidP="00EF33FE">
      <w:pPr>
        <w:pStyle w:val="Paragrafi"/>
      </w:pPr>
      <w:r w:rsidRPr="00A30D02">
        <w:t>Neni 20 ndryshohet si më poshtë:</w:t>
      </w:r>
    </w:p>
    <w:p w:rsidR="00EF33FE" w:rsidRPr="00A30D02" w:rsidRDefault="00EF33FE" w:rsidP="00EF33FE">
      <w:pPr>
        <w:pStyle w:val="Paragrafi"/>
      </w:pPr>
    </w:p>
    <w:p w:rsidR="00EF33FE" w:rsidRPr="00A30D02" w:rsidRDefault="00EF33FE" w:rsidP="00EF33FE">
      <w:pPr>
        <w:pStyle w:val="NeniNr"/>
      </w:pPr>
      <w:r w:rsidRPr="00A30D02">
        <w:t>"Neni 20</w:t>
      </w:r>
    </w:p>
    <w:p w:rsidR="00EF33FE" w:rsidRPr="00A30D02" w:rsidRDefault="00EF33FE" w:rsidP="00EF33FE">
      <w:pPr>
        <w:pStyle w:val="NeniTitull"/>
      </w:pPr>
      <w:r w:rsidRPr="00A30D02">
        <w:t>Toka dhe ndërtesat</w:t>
      </w:r>
    </w:p>
    <w:p w:rsidR="00EF33FE" w:rsidRPr="00A30D02" w:rsidRDefault="00EF33FE" w:rsidP="00EF33FE">
      <w:pPr>
        <w:pStyle w:val="Paragrafi"/>
      </w:pPr>
    </w:p>
    <w:p w:rsidR="00EF33FE" w:rsidRPr="00A30D02" w:rsidRDefault="00EF33FE" w:rsidP="00EF33FE">
      <w:pPr>
        <w:pStyle w:val="Paragrafi"/>
      </w:pPr>
      <w:r w:rsidRPr="00A30D02">
        <w:t>1. Furnizimi i tokës dhe i truallit ose dhënia me qira e tyre është një furnizim i përjashtuar, përveç rasteve të shfrytëzimit për parking a magazinim të mjeteve të transportit dhe mjeteve të tjera lëvizëse.</w:t>
      </w:r>
    </w:p>
    <w:p w:rsidR="00EF33FE" w:rsidRPr="00A30D02" w:rsidRDefault="00EF33FE" w:rsidP="00EF33FE">
      <w:pPr>
        <w:pStyle w:val="Paragrafi"/>
      </w:pPr>
      <w:r w:rsidRPr="00A30D02">
        <w:t>2. Furnizimi i ndërtesave është një furnizim i përjashtuar.".</w:t>
      </w:r>
    </w:p>
    <w:p w:rsidR="00EF33FE" w:rsidRPr="00A30D02" w:rsidRDefault="00EF33FE" w:rsidP="00EF33FE">
      <w:pPr>
        <w:pStyle w:val="NeniNr"/>
      </w:pPr>
      <w:r w:rsidRPr="00A30D02">
        <w:t>Neni 7</w:t>
      </w:r>
    </w:p>
    <w:p w:rsidR="00EF33FE" w:rsidRPr="00A30D02" w:rsidRDefault="00EF33FE" w:rsidP="00EF33FE">
      <w:pPr>
        <w:pStyle w:val="Paragrafi"/>
      </w:pPr>
    </w:p>
    <w:p w:rsidR="00EF33FE" w:rsidRPr="00A30D02" w:rsidRDefault="00EF33FE" w:rsidP="00EF33FE">
      <w:pPr>
        <w:pStyle w:val="Paragrafi"/>
      </w:pPr>
      <w:r w:rsidRPr="00A30D02">
        <w:t xml:space="preserve">Pas paragrafit të dytë të pikës 2 të nenit 26 shtohet paragrafi me këtë përmbajtje: </w:t>
      </w:r>
    </w:p>
    <w:p w:rsidR="00EF33FE" w:rsidRPr="00A30D02" w:rsidRDefault="00EF33FE" w:rsidP="00EF33FE">
      <w:pPr>
        <w:pStyle w:val="Paragrafi"/>
      </w:pPr>
      <w:r w:rsidRPr="00A30D02">
        <w:t>"Për importimin e energjisë elektrike nga KESH sh.a. të zbatohet sistemi i shtyrjes së pagesës të TVSH-së, sipas skemës së përcaktuar me vendim të Këshillit të Ministrave.</w:t>
      </w:r>
      <w:r w:rsidRPr="00A30D02">
        <w:rPr>
          <w:cs/>
        </w:rPr>
        <w:t>".</w:t>
      </w:r>
    </w:p>
    <w:p w:rsidR="00EF33FE" w:rsidRPr="00A30D02" w:rsidRDefault="00EF33FE" w:rsidP="00EF33FE">
      <w:pPr>
        <w:pStyle w:val="Paragrafi"/>
      </w:pPr>
    </w:p>
    <w:p w:rsidR="00EF33FE" w:rsidRPr="00A30D02" w:rsidRDefault="00EF33FE" w:rsidP="00EF33FE">
      <w:pPr>
        <w:pStyle w:val="NeniNr"/>
      </w:pPr>
      <w:r w:rsidRPr="00A30D02">
        <w:t>Neni 8</w:t>
      </w:r>
    </w:p>
    <w:p w:rsidR="00EF33FE" w:rsidRPr="00A30D02" w:rsidRDefault="00EF33FE" w:rsidP="00EF33FE">
      <w:pPr>
        <w:pStyle w:val="Paragrafi"/>
      </w:pPr>
    </w:p>
    <w:p w:rsidR="00EF33FE" w:rsidRPr="00A30D02" w:rsidRDefault="00EF33FE" w:rsidP="00EF33FE">
      <w:pPr>
        <w:pStyle w:val="Paragrafi"/>
      </w:pPr>
      <w:r w:rsidRPr="00A30D02">
        <w:t xml:space="preserve">Pas pikës 6 të nenit 36 shtohet pika 7 me këtë përmbajtje: </w:t>
      </w:r>
    </w:p>
    <w:p w:rsidR="00EF33FE" w:rsidRPr="00A30D02" w:rsidRDefault="00EF33FE" w:rsidP="00EF33FE">
      <w:pPr>
        <w:pStyle w:val="Paragrafi"/>
      </w:pPr>
      <w:r w:rsidRPr="00A30D02">
        <w:t>"7. Drejtori i Përgjithshëm i Tatimeve ka të drejtë të lejojë mospërdorimin e faturave tatimore me numër serial të parashtypur në rastet kur personi i tatueshëm i regjistruar mund të tregojë, me kërkesë të organeve tatimore, që sistemi i tij i regjistrimeve është i kompjuterizuar dhe i aftë të prodhojë fatura tatimore me numër serial për çdo transaksion të tatueshëm dhe që ka një numër të konsiderueshëm klientësh konsumatorë final".</w:t>
      </w:r>
    </w:p>
    <w:p w:rsidR="00EF33FE" w:rsidRPr="00A30D02" w:rsidRDefault="00EF33FE" w:rsidP="00EF33FE">
      <w:pPr>
        <w:pStyle w:val="Paragrafi"/>
      </w:pPr>
    </w:p>
    <w:p w:rsidR="00EF33FE" w:rsidRPr="00A30D02" w:rsidRDefault="00EF33FE" w:rsidP="00EF33FE">
      <w:pPr>
        <w:pStyle w:val="NeniNr"/>
      </w:pPr>
      <w:r w:rsidRPr="00A30D02">
        <w:t>Neni 9</w:t>
      </w:r>
    </w:p>
    <w:p w:rsidR="00EF33FE" w:rsidRPr="00A30D02" w:rsidRDefault="00EF33FE" w:rsidP="00EF33FE">
      <w:pPr>
        <w:pStyle w:val="Paragrafi"/>
      </w:pPr>
    </w:p>
    <w:p w:rsidR="00EF33FE" w:rsidRPr="00A30D02" w:rsidRDefault="00EF33FE" w:rsidP="00EF33FE">
      <w:pPr>
        <w:pStyle w:val="Paragrafi"/>
      </w:pPr>
      <w:r w:rsidRPr="00A30D02">
        <w:t>Pikat 1, 4, 5 e 7 të nenit 42 ndryshohen si më poshtë:</w:t>
      </w:r>
    </w:p>
    <w:p w:rsidR="00EF33FE" w:rsidRPr="00A30D02" w:rsidRDefault="00EF33FE" w:rsidP="00EF33FE">
      <w:pPr>
        <w:pStyle w:val="Paragrafi"/>
      </w:pPr>
      <w:r w:rsidRPr="00A30D02">
        <w:t>"1. Çdo person, ndaj të cilit është bërë një vlerësim tatimor, në mbështetje të nenit 41, nëse nuk është dakord me vlerësimin tatimor, ka të drejtë të kërkojë nga Drejtoria e Përgjithshme e Tatimeve që vlerësimi tatimor të rishqyrtohet.</w:t>
      </w:r>
    </w:p>
    <w:p w:rsidR="00EF33FE" w:rsidRPr="00A30D02" w:rsidRDefault="00EF33FE" w:rsidP="00EF33FE">
      <w:pPr>
        <w:pStyle w:val="Paragrafi"/>
      </w:pPr>
      <w:r w:rsidRPr="00A30D02">
        <w:t>4. Me marrjen e kërkesës për rishqyrtim, Drejtoria e Përgjithshme e Tatimeve fillon rishqyrtimin për vlerësimin ose vlerësimet tatimore të paraqitura për rishqyrtim, përveç rasteve të parashikuara në pikën 5 të këtij neni.</w:t>
      </w:r>
    </w:p>
    <w:p w:rsidR="00EF33FE" w:rsidRPr="00A30D02" w:rsidRDefault="00EF33FE" w:rsidP="00EF33FE">
      <w:pPr>
        <w:pStyle w:val="Paragrafi"/>
      </w:pPr>
      <w:r w:rsidRPr="00A30D02">
        <w:t>5. Drejtoria e Përgjithshme e Tatimeve nuk fillon rishqyrtimin për vlerësimin tatimor për ndonjë person, kur ky person nuk ka bërë të gjitha deklarimet, të cilat është i detyruar t’i bëjë në mbështetje të këtij ligji, si dhe nuk ka paguar TVSH-në e pagueshme prej tij.</w:t>
      </w:r>
    </w:p>
    <w:p w:rsidR="00EF33FE" w:rsidRPr="00A30D02" w:rsidRDefault="00EF33FE" w:rsidP="00EF33FE">
      <w:pPr>
        <w:pStyle w:val="Paragrafi"/>
        <w:rPr>
          <w:cs/>
        </w:rPr>
      </w:pPr>
      <w:r w:rsidRPr="00A30D02">
        <w:t xml:space="preserve">7. Drejtoria e Përgjithshme e Tatimeve njofton, me shkrim, personin që kërkon rishqyrtimin për rezultatet, duke treguar rishqyrtimin e vlerësimit tatimor dhe datën e rishqyrtimit. </w:t>
      </w:r>
      <w:r w:rsidRPr="00A30D02">
        <w:rPr>
          <w:cs/>
        </w:rPr>
        <w:t>"</w:t>
      </w:r>
      <w:r w:rsidRPr="00A30D02">
        <w:t xml:space="preserve"> </w:t>
      </w:r>
      <w:r w:rsidRPr="00A30D02">
        <w:rPr>
          <w:cs/>
        </w:rPr>
        <w:t>.</w:t>
      </w:r>
    </w:p>
    <w:p w:rsidR="00EF33FE" w:rsidRPr="00A30D02" w:rsidRDefault="00EF33FE" w:rsidP="00EF33FE">
      <w:pPr>
        <w:pStyle w:val="Paragrafi"/>
      </w:pPr>
    </w:p>
    <w:p w:rsidR="00EF33FE" w:rsidRPr="00A30D02" w:rsidRDefault="00EF33FE" w:rsidP="00EF33FE">
      <w:pPr>
        <w:pStyle w:val="NeniNr"/>
      </w:pPr>
      <w:r w:rsidRPr="00A30D02">
        <w:t>Neni 10</w:t>
      </w:r>
    </w:p>
    <w:p w:rsidR="00EF33FE" w:rsidRPr="00A30D02" w:rsidRDefault="00EF33FE" w:rsidP="00EF33FE">
      <w:pPr>
        <w:pStyle w:val="Paragrafi"/>
      </w:pPr>
    </w:p>
    <w:p w:rsidR="00EF33FE" w:rsidRPr="00A30D02" w:rsidRDefault="00EF33FE" w:rsidP="00EF33FE">
      <w:pPr>
        <w:pStyle w:val="Paragrafi"/>
      </w:pPr>
      <w:r w:rsidRPr="00A30D02">
        <w:t>Pika 1 e nenit 47 ndryshohet si më poshtë:</w:t>
      </w:r>
    </w:p>
    <w:p w:rsidR="00EF33FE" w:rsidRPr="00A30D02" w:rsidRDefault="00EF33FE" w:rsidP="00EF33FE">
      <w:pPr>
        <w:pStyle w:val="Paragrafi"/>
        <w:rPr>
          <w:cs/>
        </w:rPr>
      </w:pPr>
      <w:r w:rsidRPr="00A30D02">
        <w:t>"1. Personi i autorizuar nga organi tatimor ka të drejtë të hyjë dhe të kërkojë në çdo vend që përfshin tokë, ndërtesë, automjet, anije, etj., kur ai ka arsye për të besuar që mallrat ose dokumentet e përdorura prej personit të tatueshëm, për qëllimet e zbatimit të këtij ligji, mbahen atje.</w:t>
      </w:r>
      <w:r w:rsidRPr="00A30D02">
        <w:rPr>
          <w:cs/>
        </w:rPr>
        <w:t>".</w:t>
      </w:r>
    </w:p>
    <w:p w:rsidR="00EF33FE" w:rsidRPr="00A30D02" w:rsidRDefault="00EF33FE" w:rsidP="00EF33FE">
      <w:pPr>
        <w:pStyle w:val="Paragrafi"/>
      </w:pPr>
    </w:p>
    <w:p w:rsidR="00EF33FE" w:rsidRPr="00A30D02" w:rsidRDefault="00EF33FE" w:rsidP="00EF33FE">
      <w:pPr>
        <w:pStyle w:val="NeniNr"/>
      </w:pPr>
      <w:r w:rsidRPr="00A30D02">
        <w:t>Neni 11</w:t>
      </w:r>
    </w:p>
    <w:p w:rsidR="00EF33FE" w:rsidRPr="00A30D02" w:rsidRDefault="00EF33FE" w:rsidP="00EF33FE">
      <w:pPr>
        <w:pStyle w:val="Paragrafi"/>
      </w:pPr>
    </w:p>
    <w:p w:rsidR="00EF33FE" w:rsidRPr="00A30D02" w:rsidRDefault="00EF33FE" w:rsidP="00EF33FE">
      <w:pPr>
        <w:pStyle w:val="Paragrafi"/>
      </w:pPr>
      <w:r w:rsidRPr="00A30D02">
        <w:t>Ky ligj hyn në fuqi 15 ditë pas botimit në Fletoren Zyrtare.</w:t>
      </w:r>
    </w:p>
    <w:p w:rsidR="00EF33FE" w:rsidRPr="00A30D02" w:rsidRDefault="00EF33FE" w:rsidP="00EF33FE">
      <w:pPr>
        <w:pStyle w:val="Paragrafi"/>
      </w:pPr>
    </w:p>
    <w:p w:rsidR="00EF33FE" w:rsidRPr="00A30D02" w:rsidRDefault="00EF33FE" w:rsidP="00EF33FE">
      <w:pPr>
        <w:pStyle w:val="Shpallja"/>
      </w:pPr>
      <w:r w:rsidRPr="00A30D02">
        <w:t>Shpallur me dekretin nr.3203, datë 24.12.2001 të Presidentit të Republikës së Shqipërisë, Rexhep Meidani</w:t>
      </w:r>
    </w:p>
    <w:p w:rsidR="00EF33FE" w:rsidRPr="00A30D02" w:rsidRDefault="00EF33FE" w:rsidP="00EF33FE">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336DA"/>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EF33F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3DCBC62-9702-41EC-9A95-4A478F47F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719</Words>
  <Characters>4099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2019-03-14T13:00:00Z</dcterms:created>
  <dcterms:modified xsi:type="dcterms:W3CDTF">2019-03-14T13:00:00Z</dcterms:modified>
</cp:coreProperties>
</file>