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94B" w:rsidRPr="00D15F0A" w:rsidRDefault="00AF794B" w:rsidP="00AF794B">
      <w:pPr>
        <w:pStyle w:val="Akti"/>
        <w:rPr>
          <w:rFonts w:ascii="Garamond" w:hAnsi="Garamond"/>
          <w:sz w:val="24"/>
          <w:szCs w:val="24"/>
        </w:rPr>
      </w:pPr>
      <w:bookmarkStart w:id="0" w:name="_GoBack"/>
      <w:bookmarkEnd w:id="0"/>
      <w:r w:rsidRPr="00D15F0A">
        <w:rPr>
          <w:rFonts w:ascii="Garamond" w:hAnsi="Garamond"/>
          <w:sz w:val="24"/>
          <w:szCs w:val="24"/>
        </w:rPr>
        <w:t>L I G J</w:t>
      </w:r>
    </w:p>
    <w:p w:rsidR="00AF794B" w:rsidRPr="00D15F0A" w:rsidRDefault="00AF794B" w:rsidP="00AF794B">
      <w:pPr>
        <w:pStyle w:val="NumriData"/>
        <w:rPr>
          <w:rFonts w:ascii="Garamond" w:hAnsi="Garamond"/>
          <w:sz w:val="24"/>
          <w:szCs w:val="24"/>
        </w:rPr>
      </w:pPr>
      <w:r w:rsidRPr="00D15F0A">
        <w:rPr>
          <w:rFonts w:ascii="Garamond" w:hAnsi="Garamond"/>
          <w:sz w:val="24"/>
          <w:szCs w:val="24"/>
        </w:rPr>
        <w:t>Nr. 8894, datë 14.5.2002</w:t>
      </w:r>
    </w:p>
    <w:p w:rsidR="00AF794B" w:rsidRPr="00D15F0A" w:rsidRDefault="00AF794B" w:rsidP="00AF794B">
      <w:pPr>
        <w:pStyle w:val="Paragrafi"/>
        <w:rPr>
          <w:rFonts w:ascii="Garamond" w:hAnsi="Garamond"/>
          <w:sz w:val="24"/>
          <w:szCs w:val="24"/>
        </w:rPr>
      </w:pPr>
    </w:p>
    <w:p w:rsidR="00AF794B" w:rsidRPr="00D15F0A" w:rsidRDefault="00AF794B" w:rsidP="00D15F0A">
      <w:pPr>
        <w:pStyle w:val="Titulli"/>
        <w:rPr>
          <w:rFonts w:ascii="Garamond" w:hAnsi="Garamond"/>
          <w:sz w:val="24"/>
          <w:szCs w:val="24"/>
        </w:rPr>
      </w:pPr>
      <w:r w:rsidRPr="00D15F0A">
        <w:rPr>
          <w:rFonts w:ascii="Garamond" w:hAnsi="Garamond"/>
          <w:sz w:val="24"/>
          <w:szCs w:val="24"/>
        </w:rPr>
        <w:t>PËR AGJENCINË E TRAJTIMIT TË KREDIVE</w:t>
      </w:r>
    </w:p>
    <w:p w:rsidR="00D15F0A" w:rsidRPr="00D15F0A" w:rsidRDefault="00D15F0A" w:rsidP="00D15F0A">
      <w:pPr>
        <w:jc w:val="center"/>
        <w:rPr>
          <w:rFonts w:ascii="Garamond" w:hAnsi="Garamond"/>
          <w:i/>
          <w:sz w:val="24"/>
          <w:szCs w:val="24"/>
          <w:lang w:val="en-GB"/>
        </w:rPr>
      </w:pPr>
      <w:r w:rsidRPr="00D15F0A">
        <w:rPr>
          <w:rFonts w:ascii="Garamond" w:hAnsi="Garamond"/>
          <w:i/>
          <w:sz w:val="24"/>
          <w:szCs w:val="24"/>
          <w:lang w:val="en-GB"/>
        </w:rPr>
        <w:t>(Ndryshuar me ligjin nr. 9099, datë 3.7.2003</w:t>
      </w:r>
      <w:r w:rsidR="00DF0411">
        <w:rPr>
          <w:rFonts w:ascii="Garamond" w:hAnsi="Garamond"/>
          <w:i/>
          <w:sz w:val="24"/>
          <w:szCs w:val="24"/>
          <w:lang w:val="en-GB"/>
        </w:rPr>
        <w:t>; nr. 9239, datë 10.6.2004</w:t>
      </w:r>
      <w:r w:rsidRPr="00D15F0A">
        <w:rPr>
          <w:rFonts w:ascii="Garamond" w:hAnsi="Garamond"/>
          <w:i/>
          <w:sz w:val="24"/>
          <w:szCs w:val="24"/>
          <w:lang w:val="en-GB"/>
        </w:rPr>
        <w:t>)</w:t>
      </w:r>
    </w:p>
    <w:p w:rsidR="00D15F0A" w:rsidRPr="00D15F0A" w:rsidRDefault="00D15F0A" w:rsidP="00D15F0A">
      <w:pPr>
        <w:jc w:val="right"/>
        <w:rPr>
          <w:rFonts w:ascii="Garamond" w:hAnsi="Garamond"/>
          <w:i/>
          <w:sz w:val="24"/>
          <w:szCs w:val="24"/>
          <w:lang w:val="en-GB"/>
        </w:rPr>
      </w:pPr>
      <w:r w:rsidRPr="00D15F0A">
        <w:rPr>
          <w:rFonts w:ascii="Garamond" w:hAnsi="Garamond"/>
          <w:i/>
          <w:sz w:val="24"/>
          <w:szCs w:val="24"/>
          <w:lang w:val="en-GB"/>
        </w:rPr>
        <w:t>(i përditësuar)</w:t>
      </w:r>
    </w:p>
    <w:p w:rsidR="00AF794B" w:rsidRPr="00D15F0A" w:rsidRDefault="00AF794B" w:rsidP="00AF794B">
      <w:pPr>
        <w:pStyle w:val="Paragrafi"/>
        <w:rPr>
          <w:rFonts w:ascii="Garamond" w:hAnsi="Garamond"/>
          <w:sz w:val="24"/>
          <w:szCs w:val="24"/>
        </w:rPr>
      </w:pPr>
    </w:p>
    <w:p w:rsidR="00AF794B" w:rsidRPr="00D15F0A" w:rsidRDefault="00AF794B" w:rsidP="00AF794B">
      <w:pPr>
        <w:pStyle w:val="BazLigjPropozues"/>
        <w:rPr>
          <w:rFonts w:ascii="Garamond" w:hAnsi="Garamond"/>
          <w:sz w:val="24"/>
          <w:szCs w:val="24"/>
        </w:rPr>
      </w:pPr>
      <w:r w:rsidRPr="00D15F0A">
        <w:rPr>
          <w:rFonts w:ascii="Garamond" w:hAnsi="Garamond"/>
          <w:sz w:val="24"/>
          <w:szCs w:val="24"/>
        </w:rPr>
        <w:t xml:space="preserve"> Në mbështetje të neneve 78, 81 pika 1 dhe 83 pika 1 të Kushtetutës, me propozimin e Këshillit të Ministrave, </w:t>
      </w:r>
    </w:p>
    <w:p w:rsidR="00AF794B" w:rsidRPr="00D15F0A" w:rsidRDefault="00AF794B" w:rsidP="00AF794B">
      <w:pPr>
        <w:pStyle w:val="Paragrafi"/>
        <w:rPr>
          <w:rFonts w:ascii="Garamond" w:hAnsi="Garamond"/>
          <w:sz w:val="24"/>
          <w:szCs w:val="24"/>
        </w:rPr>
      </w:pPr>
    </w:p>
    <w:p w:rsidR="00AF794B" w:rsidRPr="00D15F0A" w:rsidRDefault="00AF794B" w:rsidP="00AF794B">
      <w:pPr>
        <w:pStyle w:val="Institucioni"/>
        <w:rPr>
          <w:rFonts w:ascii="Garamond" w:hAnsi="Garamond"/>
          <w:sz w:val="24"/>
          <w:szCs w:val="24"/>
        </w:rPr>
      </w:pPr>
      <w:r w:rsidRPr="00D15F0A">
        <w:rPr>
          <w:rFonts w:ascii="Garamond" w:hAnsi="Garamond"/>
          <w:sz w:val="24"/>
          <w:szCs w:val="24"/>
        </w:rPr>
        <w:t>K U V E N D I</w:t>
      </w:r>
    </w:p>
    <w:p w:rsidR="00AF794B" w:rsidRPr="00D15F0A" w:rsidRDefault="00AF794B" w:rsidP="00AF794B">
      <w:pPr>
        <w:pStyle w:val="VENDOSI"/>
        <w:rPr>
          <w:rFonts w:ascii="Garamond" w:hAnsi="Garamond"/>
          <w:sz w:val="24"/>
          <w:szCs w:val="24"/>
        </w:rPr>
      </w:pPr>
    </w:p>
    <w:p w:rsidR="00AF794B" w:rsidRPr="00D15F0A" w:rsidRDefault="00AF794B" w:rsidP="00AF794B">
      <w:pPr>
        <w:pStyle w:val="VENDOSI"/>
        <w:rPr>
          <w:rFonts w:ascii="Garamond" w:hAnsi="Garamond"/>
          <w:sz w:val="24"/>
          <w:szCs w:val="24"/>
        </w:rPr>
      </w:pPr>
      <w:r w:rsidRPr="00D15F0A">
        <w:rPr>
          <w:rFonts w:ascii="Garamond" w:hAnsi="Garamond"/>
          <w:sz w:val="24"/>
          <w:szCs w:val="24"/>
        </w:rPr>
        <w:t>I REPUBLIKËS SË SHQIPËRISË</w:t>
      </w:r>
    </w:p>
    <w:p w:rsidR="00AF794B" w:rsidRPr="00D15F0A" w:rsidRDefault="00AF794B" w:rsidP="00AF794B">
      <w:pPr>
        <w:pStyle w:val="VENDOSI"/>
        <w:rPr>
          <w:rFonts w:ascii="Garamond" w:hAnsi="Garamond"/>
          <w:sz w:val="24"/>
          <w:szCs w:val="24"/>
        </w:rPr>
      </w:pPr>
      <w:r w:rsidRPr="00D15F0A">
        <w:rPr>
          <w:rFonts w:ascii="Garamond" w:hAnsi="Garamond"/>
          <w:sz w:val="24"/>
          <w:szCs w:val="24"/>
        </w:rPr>
        <w:t>V E N D O S 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w:t>
      </w:r>
    </w:p>
    <w:p w:rsidR="00D15F0A" w:rsidRPr="00D15F0A" w:rsidRDefault="00AF794B" w:rsidP="00D15F0A">
      <w:pPr>
        <w:jc w:val="center"/>
        <w:rPr>
          <w:rFonts w:ascii="Garamond" w:hAnsi="Garamond"/>
          <w:i/>
          <w:sz w:val="24"/>
          <w:szCs w:val="24"/>
          <w:lang w:val="en-GB"/>
        </w:rPr>
      </w:pPr>
      <w:r w:rsidRPr="00D15F0A">
        <w:rPr>
          <w:rFonts w:ascii="Garamond" w:hAnsi="Garamond"/>
          <w:sz w:val="24"/>
          <w:szCs w:val="24"/>
        </w:rPr>
        <w:t xml:space="preserve"> </w:t>
      </w:r>
      <w:r w:rsidR="00D15F0A" w:rsidRPr="00D15F0A">
        <w:rPr>
          <w:rFonts w:ascii="Garamond" w:hAnsi="Garamond"/>
          <w:i/>
          <w:sz w:val="24"/>
          <w:szCs w:val="24"/>
          <w:lang w:val="en-GB"/>
        </w:rPr>
        <w:t>(</w:t>
      </w:r>
      <w:r w:rsidR="00D15F0A">
        <w:rPr>
          <w:rFonts w:ascii="Garamond" w:hAnsi="Garamond"/>
          <w:i/>
          <w:sz w:val="24"/>
          <w:szCs w:val="24"/>
          <w:lang w:val="en-GB"/>
        </w:rPr>
        <w:t>Shtuar fjali</w:t>
      </w:r>
      <w:r w:rsidR="00D15F0A" w:rsidRPr="00D15F0A">
        <w:rPr>
          <w:rFonts w:ascii="Garamond" w:hAnsi="Garamond"/>
          <w:i/>
          <w:sz w:val="24"/>
          <w:szCs w:val="24"/>
          <w:lang w:val="en-GB"/>
        </w:rPr>
        <w:t xml:space="preserve"> me ligjin nr. 9099, datë 3.7.2003)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Qëllimi i këtij ligji është vendosja e rregullave për trajtimin e kredive të transferuara nga bankat tregtare të nivelit të dytë, me kapital tërësisht shtetëror, që më poshtë do të quhen “bankat”, tek Agjencia e Trajtimit të Kredive, që më poshtë do të quhet “Agjencia”, si dhe mënyra e drejtimit të kësaj Agjencie.</w:t>
      </w:r>
      <w:r w:rsidR="00D15F0A">
        <w:rPr>
          <w:rFonts w:ascii="Garamond" w:hAnsi="Garamond"/>
          <w:sz w:val="24"/>
          <w:szCs w:val="24"/>
        </w:rPr>
        <w:t xml:space="preserve"> </w:t>
      </w:r>
      <w:r w:rsidR="00D15F0A" w:rsidRPr="00DF2E92">
        <w:rPr>
          <w:rFonts w:ascii="Garamond" w:hAnsi="Garamond"/>
          <w:sz w:val="24"/>
          <w:szCs w:val="24"/>
        </w:rPr>
        <w:t>Agjencia e Trajtimit të Kredive, në përputhje me përcaktimet e bëra në këtë ligj, trajton edhe portofolin e investimeve të kryera në banesa nga shoqëria INSIG sha.</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Për qëllime të këtij ligji, termat “aset” ose “asete” kanë kuptimet e mëposhtme: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a) Një pretendim për kredinë, duke përfshirë të gjitha mjetet e garancisë për sigurimin e detyrimit përkundrejt të gjithë personave fizikë a juridikë, nëse ata janë të regjistruar ose në regjistrim e sipër në datën e hyrjes në fuqi të këtij ligji, si dhe ato të zotëruara nga Agjencia në mbështetje të nenit 3 të këtij ligji, përfshirë shumën e principalit dhe të interesave të llogaritur për një pretendim të tillë.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b) Pasuritë e luajtshme ose të paluajshtme, që Agjencia i ka marrë në mbështetje të nenit 3 të këtij ligji.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Kreditë, asetet, pasivet dhe kapitali i Agjencisë së Trajtimit të Kredive, të marra prej saj, në mbështetje të ligjit nr.8339, datë 30.4.1998 “Për Agjencinë e Trajtimit të Kredive”, me hyrjen në fuqi të këtij ligji, i kalojnë kësaj Agjencie.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Agjencia është pronare edhe për pasuritë, të cilat mund të jenë vendosur nga debitorët si mjete garancie për sigurimin e kredive e që i janë transferuar kësaj Agjencie së bashku me kreditë nga bankat, kur këto pasuri i kalojnë në favorin e saj si kreditorë, sipas dispozitave ligjore në fuqi.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4</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Agjencia është person juridik publik, me seli në Tiranë dhe e zhvillon veprimtarinë e vet në përputhje me dispozitat e këtij ligji dhe me legjislacionin në fuqi.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5</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lastRenderedPageBreak/>
        <w:t>Agjencia ka për objekt të veprimtarisë: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1. Të shërbejë si instrument i trajtimit të të gjitha pasurive në pronësi të saj. Për këtë qëllim Agjencia kryen të gjitha veprimet e mëposhtme:</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ripagimin</w:t>
      </w:r>
      <w:proofErr w:type="gramEnd"/>
      <w:r w:rsidRPr="00D15F0A">
        <w:rPr>
          <w:rFonts w:ascii="Garamond" w:hAnsi="Garamond"/>
          <w:sz w:val="24"/>
          <w:szCs w:val="24"/>
        </w:rPr>
        <w:t xml:space="preserve"> nga ana e debitorëve ose nga ndonjë person tjetër të të gjithë ose të një pjese të kredisë së marrë prej saj nga bankat;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ndryshimin</w:t>
      </w:r>
      <w:proofErr w:type="gramEnd"/>
      <w:r w:rsidRPr="00D15F0A">
        <w:rPr>
          <w:rFonts w:ascii="Garamond" w:hAnsi="Garamond"/>
          <w:sz w:val="24"/>
          <w:szCs w:val="24"/>
        </w:rPr>
        <w:t xml:space="preserve"> e termave të kredisë, që rrjedhin nga marrëveshja e lidhur për këtë qëllim  ndërmjet bankës dhe debitorit;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shitjen</w:t>
      </w:r>
      <w:proofErr w:type="gramEnd"/>
      <w:r w:rsidRPr="00D15F0A">
        <w:rPr>
          <w:rFonts w:ascii="Garamond" w:hAnsi="Garamond"/>
          <w:sz w:val="24"/>
          <w:szCs w:val="24"/>
        </w:rPr>
        <w:t xml:space="preserve"> e sendeve të luajtshme ose të paluajtshme personave të tretë fizikë a juridikë me kapital joshtetëror ose të kontrolluar nga shteti;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arkëtimin</w:t>
      </w:r>
      <w:proofErr w:type="gramEnd"/>
      <w:r w:rsidRPr="00D15F0A">
        <w:rPr>
          <w:rFonts w:ascii="Garamond" w:hAnsi="Garamond"/>
          <w:sz w:val="24"/>
          <w:szCs w:val="24"/>
        </w:rPr>
        <w:t xml:space="preserve"> e pretendimeve kundrejt debitorëve, me të cilin kuptohet shitja e kolateraleve të lëna peng nga debitori personave fizikë a juridikë, me kapital joshtetëror ose të kontrolluar nga shteti.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Të arkëtojë në favor të shtetit fondet e parashikuara në pikën 1 të këtij neni.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6</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Agjencia kryen të gjitha veprimet ligjore që rrjedhin nga Kodi Civil, Kodi i Procedurës Civile dhe nga aktet ligjore në fuqi për falimentimin ose barrët siguruese, për realizimin e objektit të veprimtarisë së vet, të parashikuara në pikën 1 të nenit 5 të këtij ligji. Agjencia ka të drejtë të kërkojë nga organet gjyqësore fillimin e procedurave të falimentimit ose të likuidimit kundrejt personave fizikë a juridikë, ndaj të cilëve ajo ka pretendime për përmbushjen e një detyrimi.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Për të përmbushur qëllimin e objektit të veprimtarisë së vet, sipas parashikimeve të nenit 5 të këtij ligji, Agjencia gëzon të gjitha të drejtat që i takojnë nga aktet ligjore në fuqi për kreditorët bankarë dhe jobankarë, si dhe të drejtat e veçanta të dhëna nga ky ligj.</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7</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Agjencia ka të drejtë t’ua shesë asetet e veta personave fizikë a juridikë, kur këta të fundit nuk janë në pronësi shtetërore ose kur nuk janë të kontrolluar nga shteti. Pretendimet e Agjencisë kundrejt debitorit, detyrimi i të cilit është shitur nga Agjencia, i kalojnë blerësit të asetit, së bashku me të gjitha të drejtat që Agjencia ka pasur mbi të.</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8</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Debitorët e bankës do të vlerësohen si debitorë të Agjencisë për të gjitha kreditë e transferuara asaj, sipas këtij ligji dhe kjo e fundit gëzon të drejtat që banka ka pasur mbi debitorin, e cila zotëronte një aset të tillë, duke përfshirë edhe ndryshimet që banka mund t’i ketë bërë, me marrëveshje ndërmjet debitorit dhe asaj, përpara datës kur kredia është transferuar në pronësi të Agjencisë. Agjencia ka të drejtë të bëjë ndryshime në marrëveshjen e kredisë së transferuar asaj me debitorin, ndryshime që mund të përfshijnë: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zgjatjen</w:t>
      </w:r>
      <w:proofErr w:type="gramEnd"/>
      <w:r w:rsidRPr="00D15F0A">
        <w:rPr>
          <w:rFonts w:ascii="Garamond" w:hAnsi="Garamond"/>
          <w:sz w:val="24"/>
          <w:szCs w:val="24"/>
        </w:rPr>
        <w:t xml:space="preserve"> e afatit të ripagesës së kredisë;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faljen</w:t>
      </w:r>
      <w:proofErr w:type="gramEnd"/>
      <w:r w:rsidRPr="00D15F0A">
        <w:rPr>
          <w:rFonts w:ascii="Garamond" w:hAnsi="Garamond"/>
          <w:sz w:val="24"/>
          <w:szCs w:val="24"/>
        </w:rPr>
        <w:t xml:space="preserve"> e së tërës ose të një pjese të detyrimeve të prapambetura për kamatëvonesat ose për gjobat;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shumat</w:t>
      </w:r>
      <w:proofErr w:type="gramEnd"/>
      <w:r w:rsidRPr="00D15F0A">
        <w:rPr>
          <w:rFonts w:ascii="Garamond" w:hAnsi="Garamond"/>
          <w:sz w:val="24"/>
          <w:szCs w:val="24"/>
        </w:rPr>
        <w:t xml:space="preserve"> e interesave për principalin e kredisë;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ndryshimin</w:t>
      </w:r>
      <w:proofErr w:type="gramEnd"/>
      <w:r w:rsidRPr="00D15F0A">
        <w:rPr>
          <w:rFonts w:ascii="Garamond" w:hAnsi="Garamond"/>
          <w:sz w:val="24"/>
          <w:szCs w:val="24"/>
        </w:rPr>
        <w:t xml:space="preserve"> e kushteve të kredisë në tërësi ose të pasurive të lëna si masë siguruese nga debitori;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d) </w:t>
      </w:r>
      <w:proofErr w:type="gramStart"/>
      <w:r w:rsidRPr="00D15F0A">
        <w:rPr>
          <w:rFonts w:ascii="Garamond" w:hAnsi="Garamond"/>
          <w:sz w:val="24"/>
          <w:szCs w:val="24"/>
        </w:rPr>
        <w:t>shlyerjen</w:t>
      </w:r>
      <w:proofErr w:type="gramEnd"/>
      <w:r w:rsidRPr="00D15F0A">
        <w:rPr>
          <w:rFonts w:ascii="Garamond" w:hAnsi="Garamond"/>
          <w:sz w:val="24"/>
          <w:szCs w:val="24"/>
        </w:rPr>
        <w:t xml:space="preserve"> e kredisë ndërmjet marrjes së pasurive të luajtshme ose të paluajtshme, të lëna si garanci ose siguri për përmbushjen e kredisë.</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lastRenderedPageBreak/>
        <w:t>Neni 9</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Agjencia ka të drejtë, pas marrjes së aseteve në pronësi të vet nga bankat, sipas parashikimeve të këtij ligji, të pranojë zëvendësimin e debitorit në përputhje me nenet 496, 497 e 498 të Kodit Civil, në rast se një zëvendësim i tillë është në interes të shlyerjes së kredisë.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2. Në rast se Agjencia pranon zëvendësimin e debitorit, ajo ka të drejtë të kërkojë nga debitori i ri vendosjen e garancive të reja për shlyerjen e kredisë në ato raste kur garancitë e dhëna nga debitori i </w:t>
      </w:r>
      <w:proofErr w:type="gramStart"/>
      <w:r w:rsidRPr="00D15F0A">
        <w:rPr>
          <w:rFonts w:ascii="Garamond" w:hAnsi="Garamond"/>
          <w:sz w:val="24"/>
          <w:szCs w:val="24"/>
        </w:rPr>
        <w:t>parë  nuk</w:t>
      </w:r>
      <w:proofErr w:type="gramEnd"/>
      <w:r w:rsidRPr="00D15F0A">
        <w:rPr>
          <w:rFonts w:ascii="Garamond" w:hAnsi="Garamond"/>
          <w:sz w:val="24"/>
          <w:szCs w:val="24"/>
        </w:rPr>
        <w:t xml:space="preserve"> kanë qenë të barasvlershme për shlyerjen e detyrimit. Në të gjitha rastet kur pranohet zëvendësimi i debitorit, sipas këtij neni, sendet e vendosura si garanci ose garancitë e tjera, të dhëna nga debitori i parë, mbeten në favor të Agjencisë për aq kohë sa pretendimi të jetë shlyer, në përputhje me marrëveshjen e lidhur ndërmjet Agjencisë dhe debitorit të ri, me qëllim ripagimin e detyrimeve që rrjedhin nga kredia.</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10</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Lista e debitorëve të Agjencisë, që janë jashtë afateve të përmbushjes së detyrimit, publikohet në një gazetë me qarkullim kombëtar, të paktën një herë në tre muaj. Publikimi duhet të përmbajë emrin e debitorit, adresën e fundit të njohur dhe vlerën e përgjithshme të azhurnuar të shumës së pretenduar ndaj tij.</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11</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Organet drejtuese të Agjencisë janë: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Drejtoria;</w:t>
      </w:r>
    </w:p>
    <w:p w:rsidR="00AF794B" w:rsidRPr="00D15F0A" w:rsidRDefault="00AF794B" w:rsidP="00AF794B">
      <w:pPr>
        <w:pStyle w:val="Paragrafi"/>
        <w:rPr>
          <w:rFonts w:ascii="Garamond" w:hAnsi="Garamond"/>
          <w:sz w:val="24"/>
          <w:szCs w:val="24"/>
        </w:rPr>
      </w:pPr>
      <w:r w:rsidRPr="00D15F0A">
        <w:rPr>
          <w:rFonts w:ascii="Garamond" w:hAnsi="Garamond"/>
          <w:sz w:val="24"/>
          <w:szCs w:val="24"/>
        </w:rPr>
        <w:t>Këshilli i Investimeve.</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12</w:t>
      </w:r>
    </w:p>
    <w:p w:rsidR="00AF794B" w:rsidRPr="00D15F0A" w:rsidRDefault="00AF794B" w:rsidP="00AF794B">
      <w:pPr>
        <w:pStyle w:val="NeniNr"/>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Këshilli Mbikëqyrës përbëhet nga 5 anëtarë, nga të cilët njëri caktohet nga Banka e Shqipërisë, një tjetër nga Ministri i Financave dhe tre anëtarët e tjerë caktohen nga Këshilli i Ministrave. Anëtarët e Këshillit Mbikëqyrës caktohen për një periudhë kohore trevjeçare.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Anëtarët e Këshillit Mbikëqyrës të Agjencisë duhet të plotësojnë kushtet e mëposhtme: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të</w:t>
      </w:r>
      <w:proofErr w:type="gramEnd"/>
      <w:r w:rsidRPr="00D15F0A">
        <w:rPr>
          <w:rFonts w:ascii="Garamond" w:hAnsi="Garamond"/>
          <w:sz w:val="24"/>
          <w:szCs w:val="24"/>
        </w:rPr>
        <w:t xml:space="preserve"> jenë specialistë të fushës së financave, të kontabilitetit ose të drejtësisë;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të</w:t>
      </w:r>
      <w:proofErr w:type="gramEnd"/>
      <w:r w:rsidRPr="00D15F0A">
        <w:rPr>
          <w:rFonts w:ascii="Garamond" w:hAnsi="Garamond"/>
          <w:sz w:val="24"/>
          <w:szCs w:val="24"/>
        </w:rPr>
        <w:t xml:space="preserve"> kenë arsimin e lartë;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anëtarë të ndonjë organi statutor të bankave të nivelit të dytë, me seli në Republikën e Shqipërisë;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të punësuar, pronarë ose bashkëpronarë, si dhe anëtarë të organeve statutore të ndonjë banke, me seli në Republikën e Shqipërisë;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d)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gjykuar ndonjëherë për falimentim ose për paaftësi paguese;</w:t>
      </w:r>
    </w:p>
    <w:p w:rsidR="00AF794B" w:rsidRPr="00D15F0A" w:rsidRDefault="00AF794B" w:rsidP="00AF794B">
      <w:pPr>
        <w:pStyle w:val="Paragrafi"/>
        <w:rPr>
          <w:rFonts w:ascii="Garamond" w:hAnsi="Garamond"/>
          <w:sz w:val="24"/>
          <w:szCs w:val="24"/>
        </w:rPr>
      </w:pPr>
      <w:proofErr w:type="gramStart"/>
      <w:r w:rsidRPr="00D15F0A">
        <w:rPr>
          <w:rFonts w:ascii="Garamond" w:hAnsi="Garamond"/>
          <w:sz w:val="24"/>
          <w:szCs w:val="24"/>
        </w:rPr>
        <w:t>dh</w:t>
      </w:r>
      <w:proofErr w:type="gramEnd"/>
      <w:r w:rsidRPr="00D15F0A">
        <w:rPr>
          <w:rFonts w:ascii="Garamond" w:hAnsi="Garamond"/>
          <w:sz w:val="24"/>
          <w:szCs w:val="24"/>
        </w:rPr>
        <w:t>) të mos kenë pengesa për të qenë të punësuar në shërbimin civil, sipas legjislacionit në fuqi;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e)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përjashtuar më parë nga shërbimi civil.</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Anëtari i emëruar nga Ministri i Financave ka cilësinë e Kryetarit të Këshillit Mbikëqyrës, ndërsa anëtari i emëruar nga Banka e Shqipërisë ka cilësinë e Zëvendëskryetarit të këtij Këshilli.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Anëtarët e Këshillit Mbikëqyrës përgjigjen materialisht në rast se me vendim gjykate të formës së prerë shpallen fajtorë për shkaktimin e ndonjë humbjeje të Agjencisë, si pasojë e veprimeve ose mosveprimeve të fajshme gjatë ushtrimit të funksioneve të përcaktuara në këtë ligj ose si rezultat i marrjes pjesë në vepra penale kundrejt Agjencisë.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5. Organi, që ka emëruar personin anëtar të Këshillit Mbikëqyrës të Agjencisë, ka të drejtë ta largojë atë para mbarimit të mandatit.</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Mbledhjet e Këshillit Mbikëqyrës mbahen në selinë e Agjencisë të paktën një herë në muaj. Mbledhje jashtë radhe bëhen vetëm me kërkesë të Kryetarit të këtij Këshilli ose me kërkesë me shkrim të </w:t>
      </w:r>
      <w:proofErr w:type="gramStart"/>
      <w:r w:rsidRPr="00D15F0A">
        <w:rPr>
          <w:rFonts w:ascii="Garamond" w:hAnsi="Garamond"/>
          <w:sz w:val="24"/>
          <w:szCs w:val="24"/>
        </w:rPr>
        <w:t>jo</w:t>
      </w:r>
      <w:proofErr w:type="gramEnd"/>
      <w:r w:rsidRPr="00D15F0A">
        <w:rPr>
          <w:rFonts w:ascii="Garamond" w:hAnsi="Garamond"/>
          <w:sz w:val="24"/>
          <w:szCs w:val="24"/>
        </w:rPr>
        <w:t xml:space="preserve"> më pak se të dy anëtarëve të Këshillit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Në rast se një anëtar i Këshillit Mbikëqyrës nuk merr pjesë në më shumë se tri mbledhje radhazi ose në 75 për qind të mbledhjeve të Këshillit Mbikëqyrës gjatë një viti, ai përjashtohet nga ky Këshill dhe organi që ka bërë emërimin e tij cakton menjëherë zëvendësuesin.</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Materialet që do të diskutohen në mbledhjet e Këshillit Mbikëqyrës përcaktohen nga Kryetari i këtij Këshilli në bazë të propozimeve me shkrim të Drejtorisë së Agjencisë. Në mungesë të Kryetarit listën e materialeve që do të diskutohen në mbledhje e përcakton Zëvendëskryetari i tij. Në rast se Kryetari dhe Zëvendëskryetari mungojnë, atëherë listën e materialeve dhe rendin e ditës e cakton njëri nga anëtarët me moshë më të madhe.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Këshilli Mbikëqyrës i merr vendimet me shumicën e thjeshtë të votave të anëtarëve. Në rastin e barazimit të votave, vota e Kryetarit është përcaktuese.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5. Këshilli Mbikëqyrës i zhvillon mbledhjet në rast se janë të pranishëm të paktën tre anëtarë të tij, </w:t>
      </w:r>
      <w:proofErr w:type="gramStart"/>
      <w:r w:rsidRPr="00D15F0A">
        <w:rPr>
          <w:rFonts w:ascii="Garamond" w:hAnsi="Garamond"/>
          <w:sz w:val="24"/>
          <w:szCs w:val="24"/>
        </w:rPr>
        <w:t>dy</w:t>
      </w:r>
      <w:proofErr w:type="gramEnd"/>
      <w:r w:rsidRPr="00D15F0A">
        <w:rPr>
          <w:rFonts w:ascii="Garamond" w:hAnsi="Garamond"/>
          <w:sz w:val="24"/>
          <w:szCs w:val="24"/>
        </w:rPr>
        <w:t xml:space="preserve"> nga të cilët të jenë të emëruar nga Këshilli i Ministrave.</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14</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Këshilli Mbikëqyrës i Agjencisë është përgjegjës për drejtimin e Agjencisë dhe përgjigjet përpara Këshillit të Ministrave. Këshilli Mbikëqyrës raporton me shkrim çdo gjashtë muaj përpara Këshillit të Ministrave.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Këshilli Mbikëqyrës ka këto kompetenca:</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emëron</w:t>
      </w:r>
      <w:proofErr w:type="gramEnd"/>
      <w:r w:rsidRPr="00D15F0A">
        <w:rPr>
          <w:rFonts w:ascii="Garamond" w:hAnsi="Garamond"/>
          <w:sz w:val="24"/>
          <w:szCs w:val="24"/>
        </w:rPr>
        <w:t xml:space="preserve"> anëtarët e Drejtorisë dhe të Këshillit të Investimeve, si dhe lidh kontratat e punës me ta;</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emëron</w:t>
      </w:r>
      <w:proofErr w:type="gramEnd"/>
      <w:r w:rsidRPr="00D15F0A">
        <w:rPr>
          <w:rFonts w:ascii="Garamond" w:hAnsi="Garamond"/>
          <w:sz w:val="24"/>
          <w:szCs w:val="24"/>
        </w:rPr>
        <w:t xml:space="preserve"> Drejtorin dhe zëvendësdrejtorët e Drejtorisë dhe Kryetarin e zëvendëskryetarët e Këshillit të Investimeve;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është</w:t>
      </w:r>
      <w:proofErr w:type="gramEnd"/>
      <w:r w:rsidRPr="00D15F0A">
        <w:rPr>
          <w:rFonts w:ascii="Garamond" w:hAnsi="Garamond"/>
          <w:sz w:val="24"/>
          <w:szCs w:val="24"/>
        </w:rPr>
        <w:t xml:space="preserve"> përgjegjës për mbikëqyrjen dhe kontrollin e veprimeve të kryera nga Agjencia dhe të vendimeve të marra nga Drejtoria, sipas kompetencave të dhëna nga 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përcakton</w:t>
      </w:r>
      <w:proofErr w:type="gramEnd"/>
      <w:r w:rsidRPr="00D15F0A">
        <w:rPr>
          <w:rFonts w:ascii="Garamond" w:hAnsi="Garamond"/>
          <w:sz w:val="24"/>
          <w:szCs w:val="24"/>
        </w:rPr>
        <w:t xml:space="preserve"> llojin e vendimeve të Drejtorisë, që duhet të shqyrtohen nga Këshilli i Investimeve, si dhe afatet e procedurat përkatëse;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d) </w:t>
      </w:r>
      <w:proofErr w:type="gramStart"/>
      <w:r w:rsidRPr="00D15F0A">
        <w:rPr>
          <w:rFonts w:ascii="Garamond" w:hAnsi="Garamond"/>
          <w:sz w:val="24"/>
          <w:szCs w:val="24"/>
        </w:rPr>
        <w:t>siguron</w:t>
      </w:r>
      <w:proofErr w:type="gramEnd"/>
      <w:r w:rsidRPr="00D15F0A">
        <w:rPr>
          <w:rFonts w:ascii="Garamond" w:hAnsi="Garamond"/>
          <w:sz w:val="24"/>
          <w:szCs w:val="24"/>
        </w:rPr>
        <w:t xml:space="preserve"> që llogaritë financiare të Agjencisë të kontrollohen jo më pak se një herë në vit nga një shoqëri ndërkombëtare kontabël, e licencuar për të ushtruar veprimtarinë e vet në Republikën e Shqipërisë. Siguron, gjithashtu, që kontrollet të kryhen në bazë të standardeve ndërkombëtare të kontabilitetit dhe të kontroll-revizionit;</w:t>
      </w:r>
    </w:p>
    <w:p w:rsidR="00AF794B" w:rsidRPr="00D15F0A" w:rsidRDefault="00AF794B" w:rsidP="00AF794B">
      <w:pPr>
        <w:pStyle w:val="Paragrafi"/>
        <w:rPr>
          <w:rFonts w:ascii="Garamond" w:hAnsi="Garamond"/>
          <w:sz w:val="24"/>
          <w:szCs w:val="24"/>
        </w:rPr>
      </w:pPr>
      <w:proofErr w:type="gramStart"/>
      <w:r w:rsidRPr="00D15F0A">
        <w:rPr>
          <w:rFonts w:ascii="Garamond" w:hAnsi="Garamond"/>
          <w:sz w:val="24"/>
          <w:szCs w:val="24"/>
        </w:rPr>
        <w:t>dh</w:t>
      </w:r>
      <w:proofErr w:type="gramEnd"/>
      <w:r w:rsidRPr="00D15F0A">
        <w:rPr>
          <w:rFonts w:ascii="Garamond" w:hAnsi="Garamond"/>
          <w:sz w:val="24"/>
          <w:szCs w:val="24"/>
        </w:rPr>
        <w:t>) miraton buxhetin vjetor të Agjencisë dhe mbikëqyr e kontrollon përdorimin e fondeve financiare për shpenzimet operative;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e) </w:t>
      </w:r>
      <w:proofErr w:type="gramStart"/>
      <w:r w:rsidRPr="00D15F0A">
        <w:rPr>
          <w:rFonts w:ascii="Garamond" w:hAnsi="Garamond"/>
          <w:sz w:val="24"/>
          <w:szCs w:val="24"/>
        </w:rPr>
        <w:t>ka</w:t>
      </w:r>
      <w:proofErr w:type="gramEnd"/>
      <w:r w:rsidRPr="00D15F0A">
        <w:rPr>
          <w:rFonts w:ascii="Garamond" w:hAnsi="Garamond"/>
          <w:sz w:val="24"/>
          <w:szCs w:val="24"/>
        </w:rPr>
        <w:t xml:space="preserve"> përgjegjësi në marrjen e vendimeve për përmbushjen e detyrimeve të parashikuara në nenin 5 të këtij ligji.</w:t>
      </w:r>
    </w:p>
    <w:p w:rsidR="00AF794B" w:rsidRPr="00D15F0A" w:rsidRDefault="00AF794B" w:rsidP="00AF794B">
      <w:pPr>
        <w:pStyle w:val="NeniNr"/>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15</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Drejtoria e Agjencisë përbëhet nga tre (3) anëtarë të emëruar nga Këshilli Mbikëqyrës, nga të cilët njëri prej tyre caktohet Drejtor i Përgjithshëm i Agjencisë dhe </w:t>
      </w:r>
      <w:proofErr w:type="gramStart"/>
      <w:r w:rsidRPr="00D15F0A">
        <w:rPr>
          <w:rFonts w:ascii="Garamond" w:hAnsi="Garamond"/>
          <w:sz w:val="24"/>
          <w:szCs w:val="24"/>
        </w:rPr>
        <w:t>dy</w:t>
      </w:r>
      <w:proofErr w:type="gramEnd"/>
      <w:r w:rsidRPr="00D15F0A">
        <w:rPr>
          <w:rFonts w:ascii="Garamond" w:hAnsi="Garamond"/>
          <w:sz w:val="24"/>
          <w:szCs w:val="24"/>
        </w:rPr>
        <w:t xml:space="preserve"> të tjerët caktohen zëvendësdrejtorë të përgjithshëm.</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Anëtarët e Drejtorisë duhet të përmbushin kriterin e anëtarësisë së Këshillit Mbikëqyrës, sipas parashikimeve të nenit 12 të këtij ligji.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Anëtarët e Drejtorisë punësohen nga Këshilli Mbikëqyrës me kontratë pune. Kontrata e punës duhet të paktën të përmbajë: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lastRenderedPageBreak/>
        <w:t xml:space="preserve">a) </w:t>
      </w:r>
      <w:proofErr w:type="gramStart"/>
      <w:r w:rsidRPr="00D15F0A">
        <w:rPr>
          <w:rFonts w:ascii="Garamond" w:hAnsi="Garamond"/>
          <w:sz w:val="24"/>
          <w:szCs w:val="24"/>
        </w:rPr>
        <w:t>afatin</w:t>
      </w:r>
      <w:proofErr w:type="gramEnd"/>
      <w:r w:rsidRPr="00D15F0A">
        <w:rPr>
          <w:rFonts w:ascii="Garamond" w:hAnsi="Garamond"/>
          <w:sz w:val="24"/>
          <w:szCs w:val="24"/>
        </w:rPr>
        <w:t xml:space="preserve"> kohor, jo më shumë se një vit, dhe mundësinë e përsëritjes në varësi të rezultatit;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b) masën e shpërblimit, e cila nuk duhet të jetë më shumë se pesëdhjetë (50) për qind e pagës, sipas suksesit që Agjencia do të ketë në shlyerjen e aktiveve, përkundrejt objektivave të vënë nga Këshilli Mbikëqyrës për çdo vit;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zgjidhjen</w:t>
      </w:r>
      <w:proofErr w:type="gramEnd"/>
      <w:r w:rsidRPr="00D15F0A">
        <w:rPr>
          <w:rFonts w:ascii="Garamond" w:hAnsi="Garamond"/>
          <w:sz w:val="24"/>
          <w:szCs w:val="24"/>
        </w:rPr>
        <w:t xml:space="preserve"> e menjëhershme të kontratës, pa asnjë kompensim, për çdo shkelje të rregullave të sjelljes.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Anëtarët e Drejtorisë mbajnë përgjegjësi për veprimet ose mosveprimet e tyre, të kryera gjatë ushtrimit të detyrës, njësoj siç parashikohet në pikën 4 të nenit 12 të këtij ligji.</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16</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Drejtoria është përgjegjëse për ushtrimin e funksioneve të ngarkuara. Këshilli Mbikëqyrës mund të ndryshojë, të revokojë ose të shtojë përgjegjësitë, detyrat dhe autoritetet e Drejtorisë, kur e gjykon të arsyeshme.</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17</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Drejtoria është e detyruar të informojë Këshillin Mbikëqyrës çdo muaj. Ajo është e detyruar të japë çdo të dhënë që lidhet me veprimtarinë e Agjencisë, në formën dhe mënyrën e kërkuar nga Këshilli Mbikëqyrës.</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18</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Këshilli i Investimeve përbëhet nga tre (3) anëtarë, që emërohen nga Këshilli Mbikëqyrës. Një anëtar emërohet Kryetar dhe një tjetër Zëvendëskryetar.</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Anëtarët e Këshillit të Investimeve duhet të jenë specialistë në fushën e bankave dhe të financës.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Anëtarët e Këshillit të Investimeve duhet të përmbushin kriteret e përcaktuara në nenin 12 të këtij ligji.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Anëtarët e Këshillit të Investimeve shpërblehen për punën e tyre, sipas normës që do të vendoset nga Këshilli Mbikëqyrës.</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19</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Mbledhjet e Këshillit të Investimeve mbahen në selinë e Agjencisë në Tiranë. Ky Këshill mblidhet një herë në javë. Mbledhjet jashtë radhe të Këshillit mund të mbahen me vendim të Kryetarit ose me kërkesën me shkrim të </w:t>
      </w:r>
      <w:proofErr w:type="gramStart"/>
      <w:r w:rsidRPr="00D15F0A">
        <w:rPr>
          <w:rFonts w:ascii="Garamond" w:hAnsi="Garamond"/>
          <w:sz w:val="24"/>
          <w:szCs w:val="24"/>
        </w:rPr>
        <w:t>jo</w:t>
      </w:r>
      <w:proofErr w:type="gramEnd"/>
      <w:r w:rsidRPr="00D15F0A">
        <w:rPr>
          <w:rFonts w:ascii="Garamond" w:hAnsi="Garamond"/>
          <w:sz w:val="24"/>
          <w:szCs w:val="24"/>
        </w:rPr>
        <w:t xml:space="preserve"> më pak se dy anëtarëve të këtij Këshilli.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Çdo anëtar i Këshillit të Investimeve, i cili nuk merr pjesë në tri mbledhje radhazi të Këshillit të Investimeve ose që nuk merr pjesë në shtatëdhjetë e pesë (75) për qind të mbledhjeve të Këshillit të Investimeve gjatë një viti, zëvendësohet me një anëtar tjetër që e cakton 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Rendi i ditës i mbledhjeve të Këshillit të Investimeve vendoset nga Kryetari me sugjerimin e anëtarëve të tjerë të Këshillit të Investimeve.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Këshilli i Investimeve merr vendime me shumicën e thjeshtë të votave. Në rast të një barazie votash, vota e Kryetarit është përcaktuese.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5. Mbledhjet e Këshillit të Investimeve janë të vlefshme kur në to merr pjesë Kryetari i Këshillit dhe një anëtar i tij.</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20</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lastRenderedPageBreak/>
        <w:t>1. Qëllimi i Këshillit të Investimeve është të sigurojë kontrollin në nivel specialistësh të pavarur të vendimeve të Drejtorisë së Agjencisë, si dhe sigurimin e një burimi ekspertize dhe këshillimi për interesat e Drejtorisë dhe të Këshillit Mbikëqyrës gjatë veprimtarisë së tyre.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Këshilli i Investimeve është përgjegjës për kontrollin e të gjitha vendimeve të propozuara nga Drejtoria për aktivet e Agjencisë, kur vlera kontabël është pesëqind mijë (500 000) lekë e lart, si dhe për çdo vendim tjetër, që përcaktohet për shqyrtim nga 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Në rastin kur Këshilli i Investimeve bie dakord me vendimin e propozuar nga Drejtoria, atëherë vendimi i Drejtorisë është i zbatueshëm.</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4. Në rastin kur Këshilli i Investimeve nuk bie dakord me vendimin e propozuar nga Drejtoria, atëherë </w:t>
      </w:r>
      <w:proofErr w:type="gramStart"/>
      <w:r w:rsidRPr="00D15F0A">
        <w:rPr>
          <w:rFonts w:ascii="Garamond" w:hAnsi="Garamond"/>
          <w:sz w:val="24"/>
          <w:szCs w:val="24"/>
        </w:rPr>
        <w:t>ky</w:t>
      </w:r>
      <w:proofErr w:type="gramEnd"/>
      <w:r w:rsidRPr="00D15F0A">
        <w:rPr>
          <w:rFonts w:ascii="Garamond" w:hAnsi="Garamond"/>
          <w:sz w:val="24"/>
          <w:szCs w:val="24"/>
        </w:rPr>
        <w:t xml:space="preserve"> vendim nuk mund të jetë i vlefshëm, derisa të ndryshohet, brenda 30 ditëve, në mënyrë që të bjerë dakord edhe Këshilli i Investimeve.</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5. Në rastin kur Drejtoria nuk bie dakord me mendimin e Këshillit të Investimeve, që jepet në përputhje me shkronjën “c” të këtij neni, atëherë Drejtoria ka të drejtë t’i kërkojë Këshillit Mbikëqyrës të marrë një vendim në mbështetje të propozimit të saj. Vendimi i Këshillit Mbikëqyrës është përfundimtar dhe i detyrueshëm për zbatim.</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21</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Brenda 60 ditëve nga hyrja në fuqi e këtij ligji Drejtoria i paraqet për miratim Këshillit </w:t>
      </w:r>
      <w:proofErr w:type="gramStart"/>
      <w:r w:rsidRPr="00D15F0A">
        <w:rPr>
          <w:rFonts w:ascii="Garamond" w:hAnsi="Garamond"/>
          <w:sz w:val="24"/>
          <w:szCs w:val="24"/>
        </w:rPr>
        <w:t>Mbikëqyrës  rregulloren</w:t>
      </w:r>
      <w:proofErr w:type="gramEnd"/>
      <w:r w:rsidRPr="00D15F0A">
        <w:rPr>
          <w:rFonts w:ascii="Garamond" w:hAnsi="Garamond"/>
          <w:sz w:val="24"/>
          <w:szCs w:val="24"/>
        </w:rPr>
        <w:t xml:space="preserve"> “Rregullat e sjelljes”, që hyjnë në fuqi për t’u zbatuar brenda 30 ditëve nga data e miratimit të tyre.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2. Anëtarët e Këshillit Mbikëqyrës dhe të Drejtorisë, si dhe të punësuarit e Këshillit të Investimeve duhet të zbatojnë rregulloren “Rregullat e sjelljes”, të miratuar me vendim të Këshillit Mbikëqyrës. </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Këshilli Mbikëqyrës është organi që zbaton masat disiplinore të shkeljeve të parashikuara nga rregullorja “Rregullat e sjelljes” dhe krijon procedura dhe mekanizma që: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të</w:t>
      </w:r>
      <w:proofErr w:type="gramEnd"/>
      <w:r w:rsidRPr="00D15F0A">
        <w:rPr>
          <w:rFonts w:ascii="Garamond" w:hAnsi="Garamond"/>
          <w:sz w:val="24"/>
          <w:szCs w:val="24"/>
        </w:rPr>
        <w:t xml:space="preserve"> administrojë veprimet dhe hyrjen në fuqi të rregullores “Rregullat e sjelljes” në një mënyrë të drejtë;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të</w:t>
      </w:r>
      <w:proofErr w:type="gramEnd"/>
      <w:r w:rsidRPr="00D15F0A">
        <w:rPr>
          <w:rFonts w:ascii="Garamond" w:hAnsi="Garamond"/>
          <w:sz w:val="24"/>
          <w:szCs w:val="24"/>
        </w:rPr>
        <w:t xml:space="preserve"> lejojë publikun të paraqesë raportime për shkeljet e rregullores “Rregullat e sjelljes” nga punonjësit e Agjencisë dhe për veprime të ndryshme të Agjencisë.</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22</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Me përjashtim të rasteve të parashikuara në pikën 2 të këtij neni, të gjitha fondet e mbajtura ose të arkëtuara nga Agjencia derdhen në favor të Buxhetit të Shtetit në fund të muajit, kur ato arkëtohen.</w:t>
      </w:r>
    </w:p>
    <w:p w:rsidR="00AF794B" w:rsidRDefault="00AF794B" w:rsidP="00AF794B">
      <w:pPr>
        <w:pStyle w:val="Paragrafi"/>
        <w:rPr>
          <w:rFonts w:ascii="Garamond" w:hAnsi="Garamond"/>
          <w:sz w:val="24"/>
          <w:szCs w:val="24"/>
        </w:rPr>
      </w:pPr>
      <w:r w:rsidRPr="00D15F0A">
        <w:rPr>
          <w:rFonts w:ascii="Garamond" w:hAnsi="Garamond"/>
          <w:sz w:val="24"/>
          <w:szCs w:val="24"/>
        </w:rPr>
        <w:t>2. Agjencia mban në llogaritë e veta fonde të barabarta në vlerë me një të katërtën e buxhetit operativ vjetor të Agjencisë, të miratuar nga Këshilli Mbikëqyrës.</w:t>
      </w:r>
    </w:p>
    <w:p w:rsidR="00DF0411" w:rsidRDefault="00DF0411" w:rsidP="00AF794B">
      <w:pPr>
        <w:pStyle w:val="Paragrafi"/>
        <w:rPr>
          <w:rFonts w:ascii="Garamond" w:hAnsi="Garamond"/>
          <w:sz w:val="24"/>
          <w:szCs w:val="24"/>
        </w:rPr>
      </w:pPr>
    </w:p>
    <w:p w:rsidR="00DF0411" w:rsidRPr="0008071D" w:rsidRDefault="00DF0411" w:rsidP="00DF0411">
      <w:pPr>
        <w:pStyle w:val="NeniNr"/>
        <w:keepNext w:val="0"/>
        <w:rPr>
          <w:rFonts w:ascii="Garamond" w:hAnsi="Garamond"/>
          <w:sz w:val="24"/>
          <w:szCs w:val="24"/>
        </w:rPr>
      </w:pPr>
      <w:r w:rsidRPr="0008071D">
        <w:rPr>
          <w:rFonts w:ascii="Garamond" w:hAnsi="Garamond"/>
          <w:sz w:val="24"/>
          <w:szCs w:val="24"/>
        </w:rPr>
        <w:t>Neni 22/1</w:t>
      </w:r>
    </w:p>
    <w:p w:rsidR="00DF0411" w:rsidRPr="0008071D" w:rsidRDefault="00DF0411" w:rsidP="00DF0411">
      <w:pPr>
        <w:pStyle w:val="Paragrafi"/>
        <w:jc w:val="center"/>
        <w:rPr>
          <w:rFonts w:ascii="Garamond" w:hAnsi="Garamond"/>
          <w:i/>
          <w:sz w:val="24"/>
          <w:szCs w:val="24"/>
          <w:lang w:val="en-GB"/>
        </w:rPr>
      </w:pPr>
      <w:r w:rsidRPr="0008071D">
        <w:rPr>
          <w:rFonts w:ascii="Garamond" w:hAnsi="Garamond"/>
          <w:i/>
          <w:sz w:val="24"/>
          <w:szCs w:val="24"/>
          <w:lang w:val="en-GB"/>
        </w:rPr>
        <w:t>(Shtuar me ligjin nr. 9239, datë 10.6.2004)</w:t>
      </w:r>
    </w:p>
    <w:p w:rsidR="00DF0411" w:rsidRPr="0008071D" w:rsidRDefault="00DF0411" w:rsidP="00DF0411">
      <w:pPr>
        <w:pStyle w:val="Paragrafi"/>
        <w:jc w:val="center"/>
        <w:rPr>
          <w:rFonts w:ascii="Garamond" w:hAnsi="Garamond"/>
          <w:sz w:val="24"/>
          <w:szCs w:val="24"/>
        </w:rPr>
      </w:pPr>
    </w:p>
    <w:p w:rsidR="00DF0411" w:rsidRPr="0008071D" w:rsidRDefault="00DF0411" w:rsidP="00DF0411">
      <w:pPr>
        <w:pStyle w:val="Paragrafi"/>
        <w:rPr>
          <w:rFonts w:ascii="Garamond" w:hAnsi="Garamond"/>
          <w:sz w:val="24"/>
          <w:szCs w:val="24"/>
        </w:rPr>
      </w:pPr>
      <w:r w:rsidRPr="0008071D">
        <w:rPr>
          <w:rFonts w:ascii="Garamond" w:hAnsi="Garamond"/>
          <w:sz w:val="24"/>
          <w:szCs w:val="24"/>
        </w:rPr>
        <w:t>1. Detyrimet e ndërmarrjeve shtetërore të privatizuara dhe të dhëna me koncesion, sipas akteve ligjore dhe nënligjore në fuqi, si dhe detyrimet e ish-ndërmarrjeve shtetërore, që nuk ekzistojnë dhe pa dokumentacion, që përcaktohen në aneksin 1 bashkëlidhur këtij ligji, fshihen nga bilanci i Agjencisë së Trajtimit të Kredive.</w:t>
      </w:r>
    </w:p>
    <w:p w:rsidR="00DF0411" w:rsidRPr="0008071D" w:rsidRDefault="00DF0411" w:rsidP="00DF0411">
      <w:pPr>
        <w:pStyle w:val="Paragrafi"/>
        <w:rPr>
          <w:rFonts w:ascii="Garamond" w:hAnsi="Garamond"/>
          <w:sz w:val="24"/>
          <w:szCs w:val="24"/>
        </w:rPr>
      </w:pPr>
      <w:r w:rsidRPr="0008071D">
        <w:rPr>
          <w:rFonts w:ascii="Garamond" w:hAnsi="Garamond"/>
          <w:sz w:val="24"/>
          <w:szCs w:val="24"/>
        </w:rPr>
        <w:t>2. Detyrimet e mësipërme me vlerë të përgjithshme 6 063 088 mijë lekë kalojnë në pakësim të detyrimeve të Agjencisë së Trajtimit të Krediv</w:t>
      </w:r>
      <w:r>
        <w:rPr>
          <w:rFonts w:ascii="Garamond" w:hAnsi="Garamond"/>
          <w:sz w:val="24"/>
          <w:szCs w:val="24"/>
        </w:rPr>
        <w:t>e ndaj Ministrisë së Financave.</w:t>
      </w:r>
    </w:p>
    <w:p w:rsidR="00DF0411" w:rsidRPr="0008071D" w:rsidRDefault="00DF0411" w:rsidP="00DF0411">
      <w:pPr>
        <w:pStyle w:val="Paragrafi"/>
        <w:rPr>
          <w:rFonts w:ascii="Garamond" w:hAnsi="Garamond"/>
          <w:sz w:val="24"/>
          <w:szCs w:val="24"/>
        </w:rPr>
      </w:pPr>
    </w:p>
    <w:p w:rsidR="00DF0411" w:rsidRPr="00D15F0A" w:rsidRDefault="00DF0411"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23</w:t>
      </w:r>
    </w:p>
    <w:p w:rsidR="00D15F0A" w:rsidRPr="00D15F0A" w:rsidRDefault="00D15F0A" w:rsidP="00D15F0A">
      <w:pPr>
        <w:jc w:val="center"/>
        <w:rPr>
          <w:rFonts w:ascii="Garamond" w:hAnsi="Garamond"/>
          <w:i/>
          <w:sz w:val="24"/>
          <w:szCs w:val="24"/>
          <w:lang w:val="en-GB"/>
        </w:rPr>
      </w:pPr>
      <w:r w:rsidRPr="00D15F0A">
        <w:rPr>
          <w:rFonts w:ascii="Garamond" w:hAnsi="Garamond"/>
          <w:i/>
          <w:sz w:val="24"/>
          <w:szCs w:val="24"/>
          <w:lang w:val="en-GB"/>
        </w:rPr>
        <w:t>(</w:t>
      </w:r>
      <w:r>
        <w:rPr>
          <w:rFonts w:ascii="Garamond" w:hAnsi="Garamond"/>
          <w:i/>
          <w:sz w:val="24"/>
          <w:szCs w:val="24"/>
          <w:lang w:val="en-GB"/>
        </w:rPr>
        <w:t xml:space="preserve">Ndryshuar fjalia e fundit e pikës 2 </w:t>
      </w:r>
      <w:r w:rsidRPr="00D15F0A">
        <w:rPr>
          <w:rFonts w:ascii="Garamond" w:hAnsi="Garamond"/>
          <w:i/>
          <w:sz w:val="24"/>
          <w:szCs w:val="24"/>
          <w:lang w:val="en-GB"/>
        </w:rPr>
        <w:t xml:space="preserve"> me ligjin nr. 9099, datë 3.7.2003)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Agjencia do ta ushtrojë veprimtarinë deri më 31 dhjetor 2005. Këshilli i Ministrave ka të drejtë të vendosë mbylljen e Agjencisë edhe përpara kësaj date mbi bazën e propozimit të Këshillit Mbikëqyrës, të paraqitur nëpërmjet Ministrit të Financave.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2. Me hyrjen në fuqi të këtij ligji, të gjitha aktivet e Agjencisë, të cilat janë në formën e detyrimeve kundrejt debitorëve të ndryshëm, shndërrohen në formën e kërkesave të Republikës së Shqipërisë. </w:t>
      </w:r>
      <w:r w:rsidR="00D15F0A" w:rsidRPr="00DF2E92">
        <w:rPr>
          <w:rFonts w:ascii="Garamond" w:hAnsi="Garamond"/>
          <w:sz w:val="24"/>
          <w:szCs w:val="24"/>
        </w:rPr>
        <w:t>Këto kërkesa i kalojnë Ministrisë së Financave, e cila, pas përfundimit të afatit të veprimtarisë së Agjencisë së Trajtimit të Kredive, i propozon Këshillit të Ministrave mënyrën e</w:t>
      </w:r>
      <w:r w:rsidR="00D15F0A">
        <w:rPr>
          <w:rFonts w:ascii="Garamond" w:hAnsi="Garamond"/>
          <w:sz w:val="24"/>
          <w:szCs w:val="24"/>
        </w:rPr>
        <w:t xml:space="preserve"> menaxhimit të pjesës së mbetur</w:t>
      </w:r>
      <w:r w:rsidRPr="00D15F0A">
        <w:rPr>
          <w:rFonts w:ascii="Garamond" w:hAnsi="Garamond"/>
          <w:sz w:val="24"/>
          <w:szCs w:val="24"/>
        </w:rPr>
        <w:t>.</w:t>
      </w:r>
    </w:p>
    <w:p w:rsidR="00AF794B" w:rsidRPr="00D15F0A" w:rsidRDefault="00AF794B" w:rsidP="00AF794B">
      <w:pPr>
        <w:pStyle w:val="NeniNr"/>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24</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Ligji nr.8339, datë 30.4.1998 “Për Agjencinë e Trajtimit të Kredive”, ndryshuar me ligjin nr.8584, datë 15.3.2000, shfuqizohet.</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25</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     </w:t>
      </w:r>
    </w:p>
    <w:p w:rsidR="00AF794B" w:rsidRPr="00D15F0A" w:rsidRDefault="00AF794B" w:rsidP="00AF794B">
      <w:pPr>
        <w:pStyle w:val="Paragrafi"/>
        <w:rPr>
          <w:rFonts w:ascii="Garamond" w:hAnsi="Garamond"/>
          <w:sz w:val="24"/>
          <w:szCs w:val="24"/>
        </w:rPr>
      </w:pPr>
      <w:proofErr w:type="gramStart"/>
      <w:r w:rsidRPr="00D15F0A">
        <w:rPr>
          <w:rFonts w:ascii="Garamond" w:hAnsi="Garamond"/>
          <w:sz w:val="24"/>
          <w:szCs w:val="24"/>
        </w:rPr>
        <w:t>Ky</w:t>
      </w:r>
      <w:proofErr w:type="gramEnd"/>
      <w:r w:rsidRPr="00D15F0A">
        <w:rPr>
          <w:rFonts w:ascii="Garamond" w:hAnsi="Garamond"/>
          <w:sz w:val="24"/>
          <w:szCs w:val="24"/>
        </w:rPr>
        <w:t xml:space="preserve"> ligj hyn në fuqi 15 ditë pas botimit në Fletoren Zyrtare.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    </w:t>
      </w:r>
    </w:p>
    <w:p w:rsidR="00AF794B" w:rsidRPr="00D15F0A" w:rsidRDefault="00AF794B" w:rsidP="00AF794B">
      <w:pPr>
        <w:pStyle w:val="Shpallja"/>
        <w:rPr>
          <w:rFonts w:ascii="Garamond" w:hAnsi="Garamond"/>
          <w:sz w:val="24"/>
          <w:szCs w:val="24"/>
        </w:rPr>
      </w:pPr>
      <w:r w:rsidRPr="00D15F0A">
        <w:rPr>
          <w:rFonts w:ascii="Garamond" w:hAnsi="Garamond"/>
          <w:sz w:val="24"/>
          <w:szCs w:val="24"/>
        </w:rPr>
        <w:t>Shpallur me dekretin nr. 3351, datë 30.5.2002 të Presidentit të Republikës së Shqipërisë, Rexhep Meidani</w:t>
      </w:r>
    </w:p>
    <w:p w:rsidR="00AF794B" w:rsidRPr="00D15F0A" w:rsidRDefault="00AF794B" w:rsidP="00AF794B">
      <w:pPr>
        <w:pStyle w:val="Paragrafi"/>
        <w:rPr>
          <w:rFonts w:ascii="Garamond" w:hAnsi="Garamond"/>
          <w:sz w:val="24"/>
          <w:szCs w:val="24"/>
        </w:rPr>
      </w:pPr>
    </w:p>
    <w:p w:rsidR="00A0784B" w:rsidRDefault="00A0784B"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7732C8">
      <w:pPr>
        <w:rPr>
          <w:rFonts w:ascii="Garamond" w:hAnsi="Garamond"/>
          <w:sz w:val="24"/>
          <w:szCs w:val="24"/>
        </w:rPr>
      </w:pPr>
    </w:p>
    <w:p w:rsidR="00A60B01" w:rsidRDefault="00A60B01" w:rsidP="00A60B01">
      <w:pPr>
        <w:jc w:val="center"/>
        <w:rPr>
          <w:rFonts w:ascii="Garamond" w:hAnsi="Garamond"/>
          <w:i/>
          <w:sz w:val="24"/>
          <w:szCs w:val="24"/>
        </w:rPr>
      </w:pPr>
      <w:r w:rsidRPr="00A60B01">
        <w:rPr>
          <w:rFonts w:ascii="Garamond" w:hAnsi="Garamond"/>
          <w:i/>
          <w:sz w:val="24"/>
          <w:szCs w:val="24"/>
        </w:rPr>
        <w:t>(Shtuar tabelat me ligjin nr. 9239, datë 10.6.2004)</w:t>
      </w:r>
    </w:p>
    <w:p w:rsidR="00A60B01" w:rsidRDefault="00A60B01" w:rsidP="00A60B01">
      <w:pPr>
        <w:jc w:val="center"/>
        <w:rPr>
          <w:rFonts w:ascii="Garamond" w:hAnsi="Garamond"/>
          <w:i/>
          <w:sz w:val="24"/>
          <w:szCs w:val="24"/>
        </w:rPr>
      </w:pPr>
    </w:p>
    <w:p w:rsidR="00A60B01" w:rsidRDefault="00A60B01" w:rsidP="00A60B01">
      <w:pPr>
        <w:pStyle w:val="Figure"/>
      </w:pPr>
      <w:r w:rsidRPr="00E80D51">
        <w:rPr>
          <w:noProof/>
        </w:rPr>
        <w:drawing>
          <wp:inline distT="0" distB="0" distL="0" distR="0" wp14:anchorId="51DE30D6" wp14:editId="54046B51">
            <wp:extent cx="7719060" cy="575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9060" cy="5759450"/>
                    </a:xfrm>
                    <a:prstGeom prst="rect">
                      <a:avLst/>
                    </a:prstGeom>
                    <a:noFill/>
                    <a:ln>
                      <a:noFill/>
                    </a:ln>
                  </pic:spPr>
                </pic:pic>
              </a:graphicData>
            </a:graphic>
          </wp:inline>
        </w:drawing>
      </w:r>
    </w:p>
    <w:p w:rsidR="00A60B01" w:rsidRDefault="00A60B01" w:rsidP="00A60B01">
      <w:pPr>
        <w:pStyle w:val="Figure"/>
        <w:sectPr w:rsidR="00A60B01" w:rsidSect="00472461">
          <w:footerReference w:type="even" r:id="rId7"/>
          <w:footerReference w:type="default" r:id="rId8"/>
          <w:pgSz w:w="11906" w:h="16838" w:code="9"/>
          <w:pgMar w:top="1418" w:right="1418" w:bottom="1418" w:left="1418" w:header="0" w:footer="1134" w:gutter="0"/>
          <w:pgNumType w:start="3290"/>
          <w:cols w:space="720"/>
          <w:docGrid w:linePitch="299"/>
        </w:sectPr>
      </w:pPr>
      <w:r w:rsidRPr="00E80D51">
        <w:rPr>
          <w:noProof/>
        </w:rPr>
        <w:lastRenderedPageBreak/>
        <w:drawing>
          <wp:inline distT="0" distB="0" distL="0" distR="0" wp14:anchorId="4895D9A4" wp14:editId="37CB52E7">
            <wp:extent cx="7564755" cy="575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4755" cy="5759450"/>
                    </a:xfrm>
                    <a:prstGeom prst="rect">
                      <a:avLst/>
                    </a:prstGeom>
                    <a:noFill/>
                    <a:ln>
                      <a:noFill/>
                    </a:ln>
                  </pic:spPr>
                </pic:pic>
              </a:graphicData>
            </a:graphic>
          </wp:inline>
        </w:drawing>
      </w:r>
    </w:p>
    <w:p w:rsidR="00A60B01" w:rsidRPr="003941D1" w:rsidRDefault="00A60B01" w:rsidP="00A60B01">
      <w:pPr>
        <w:pStyle w:val="Paragrafi"/>
        <w:ind w:firstLine="0"/>
      </w:pPr>
    </w:p>
    <w:p w:rsidR="00A60B01" w:rsidRPr="00A60B01" w:rsidRDefault="00A60B01" w:rsidP="00A60B01">
      <w:pPr>
        <w:jc w:val="center"/>
        <w:rPr>
          <w:rFonts w:ascii="Garamond" w:hAnsi="Garamond"/>
          <w:i/>
          <w:sz w:val="24"/>
          <w:szCs w:val="24"/>
        </w:rPr>
      </w:pPr>
    </w:p>
    <w:sectPr w:rsidR="00A60B01" w:rsidRPr="00A60B0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CB5" w:rsidRDefault="002F7CB5">
      <w:r>
        <w:separator/>
      </w:r>
    </w:p>
  </w:endnote>
  <w:endnote w:type="continuationSeparator" w:id="0">
    <w:p w:rsidR="002F7CB5" w:rsidRDefault="002F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A60B01" w:rsidP="00443D7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43D79" w:rsidRDefault="002F7CB5" w:rsidP="00443D7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2F7CB5" w:rsidP="00443D79">
    <w:pPr>
      <w:pStyle w:val="Footer"/>
      <w:ind w:right="360" w:firstLine="360"/>
    </w:pPr>
  </w:p>
  <w:p w:rsidR="007B26FA" w:rsidRDefault="002F7C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CB5" w:rsidRDefault="002F7CB5">
      <w:r>
        <w:separator/>
      </w:r>
    </w:p>
  </w:footnote>
  <w:footnote w:type="continuationSeparator" w:id="0">
    <w:p w:rsidR="002F7CB5" w:rsidRDefault="002F7C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37C15"/>
    <w:rsid w:val="000637B6"/>
    <w:rsid w:val="00074162"/>
    <w:rsid w:val="00075BF5"/>
    <w:rsid w:val="000B29AB"/>
    <w:rsid w:val="00134ADF"/>
    <w:rsid w:val="00187855"/>
    <w:rsid w:val="001A58B2"/>
    <w:rsid w:val="001C7978"/>
    <w:rsid w:val="0022170D"/>
    <w:rsid w:val="002C6BAB"/>
    <w:rsid w:val="002F7CB5"/>
    <w:rsid w:val="00304413"/>
    <w:rsid w:val="00383FD5"/>
    <w:rsid w:val="003A52B8"/>
    <w:rsid w:val="003C0E50"/>
    <w:rsid w:val="003E06F6"/>
    <w:rsid w:val="003F043A"/>
    <w:rsid w:val="00470F9C"/>
    <w:rsid w:val="00472461"/>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60B01"/>
    <w:rsid w:val="00A923BE"/>
    <w:rsid w:val="00AA4D4B"/>
    <w:rsid w:val="00AF794B"/>
    <w:rsid w:val="00B26C38"/>
    <w:rsid w:val="00BB5AB5"/>
    <w:rsid w:val="00BC6B73"/>
    <w:rsid w:val="00C158CF"/>
    <w:rsid w:val="00C22BA7"/>
    <w:rsid w:val="00C36B40"/>
    <w:rsid w:val="00C7710C"/>
    <w:rsid w:val="00CF2E64"/>
    <w:rsid w:val="00D1319A"/>
    <w:rsid w:val="00D15F0A"/>
    <w:rsid w:val="00D92AC6"/>
    <w:rsid w:val="00DC64E5"/>
    <w:rsid w:val="00DF0411"/>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0308F-3AAF-4519-AAF9-DCFE8A28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F0411"/>
    <w:rPr>
      <w:rFonts w:ascii="CG Times" w:hAnsi="CG Times"/>
      <w:sz w:val="22"/>
      <w:lang w:val="en-US" w:eastAsia="en-US"/>
    </w:rPr>
  </w:style>
  <w:style w:type="paragraph" w:styleId="Footer">
    <w:name w:val="footer"/>
    <w:basedOn w:val="Normal"/>
    <w:link w:val="FooterChar"/>
    <w:rsid w:val="00A60B01"/>
    <w:pPr>
      <w:widowControl/>
      <w:tabs>
        <w:tab w:val="center" w:pos="4320"/>
        <w:tab w:val="right" w:pos="8640"/>
      </w:tabs>
    </w:pPr>
    <w:rPr>
      <w:rFonts w:ascii="Times New Roman" w:hAnsi="Times New Roman"/>
      <w:noProof w:val="0"/>
      <w:sz w:val="20"/>
      <w:szCs w:val="20"/>
      <w:lang w:val="en-US"/>
    </w:rPr>
  </w:style>
  <w:style w:type="character" w:customStyle="1" w:styleId="FooterChar">
    <w:name w:val="Footer Char"/>
    <w:basedOn w:val="DefaultParagraphFont"/>
    <w:link w:val="Footer"/>
    <w:rsid w:val="00A60B01"/>
    <w:rPr>
      <w:lang w:val="en-US" w:eastAsia="en-US"/>
    </w:rPr>
  </w:style>
  <w:style w:type="character" w:styleId="PageNumber">
    <w:name w:val="page number"/>
    <w:basedOn w:val="DefaultParagraphFont"/>
    <w:rsid w:val="00A60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2707</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2026-02-24T13:51:00Z</dcterms:created>
  <dcterms:modified xsi:type="dcterms:W3CDTF">2026-02-24T14:16:00Z</dcterms:modified>
</cp:coreProperties>
</file>