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060" w:rsidRPr="007C57BC" w:rsidRDefault="00567060" w:rsidP="00567060">
      <w:pPr>
        <w:pStyle w:val="Akti"/>
      </w:pPr>
      <w:bookmarkStart w:id="0" w:name="_GoBack"/>
      <w:bookmarkEnd w:id="0"/>
      <w:r w:rsidRPr="007C57BC">
        <w:t>L I G J</w:t>
      </w:r>
    </w:p>
    <w:p w:rsidR="00567060" w:rsidRPr="007C57BC" w:rsidRDefault="00567060" w:rsidP="00567060">
      <w:pPr>
        <w:pStyle w:val="NumriData"/>
      </w:pPr>
      <w:r w:rsidRPr="007C57BC">
        <w:t>Nr.9063, 8.5.2003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Titulli"/>
      </w:pPr>
      <w:r w:rsidRPr="007C57BC">
        <w:t>PËR STATUSIN E TRASHËGIMTARËVE TË ISH-FAMILJES MBRETËRORE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BazLigjPropozues"/>
      </w:pPr>
      <w:r w:rsidRPr="007C57BC">
        <w:t>Në mbështetje të neneve 78, 81 pika 1 dhe 83 pika 1 të Kushtetutës, me propozimin  e një grupi deputetësh,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Institucioni"/>
      </w:pPr>
      <w:r w:rsidRPr="007C57BC">
        <w:t>K U V E N D I</w:t>
      </w:r>
    </w:p>
    <w:p w:rsidR="00567060" w:rsidRPr="007C57BC" w:rsidRDefault="00567060" w:rsidP="00567060">
      <w:pPr>
        <w:pStyle w:val="Institucioni"/>
      </w:pPr>
      <w:r w:rsidRPr="007C57BC">
        <w:t>I REPUBLIKËS SË SHQIPËRISË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VENDOSI"/>
      </w:pPr>
      <w:r w:rsidRPr="007C57BC">
        <w:t>V E N D O S I: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NeniNr"/>
      </w:pPr>
      <w:r w:rsidRPr="007C57BC">
        <w:t>Neni 1</w:t>
      </w:r>
    </w:p>
    <w:p w:rsidR="00567060" w:rsidRDefault="00567060" w:rsidP="00567060">
      <w:pPr>
        <w:pStyle w:val="Paragrafi"/>
      </w:pPr>
    </w:p>
    <w:p w:rsidR="00567060" w:rsidRPr="007C57BC" w:rsidRDefault="00567060" w:rsidP="00567060">
      <w:pPr>
        <w:pStyle w:val="Paragrafi"/>
      </w:pPr>
      <w:r w:rsidRPr="007C57BC">
        <w:t>Në këtë ligj, me ish-Familje Mbretërore kuptohet familja e trashëgimtarëve të ish-Mbretit Zog I dhe ish-Mbretëreshës Geraldinë, duke përfshirë edhe pasardhësit e tyre.</w:t>
      </w:r>
    </w:p>
    <w:p w:rsidR="00567060" w:rsidRDefault="00567060" w:rsidP="00567060">
      <w:pPr>
        <w:pStyle w:val="Paragrafi"/>
      </w:pPr>
    </w:p>
    <w:p w:rsidR="00567060" w:rsidRDefault="00567060" w:rsidP="00567060">
      <w:pPr>
        <w:pStyle w:val="NeniNr"/>
      </w:pPr>
      <w:r w:rsidRPr="007C57BC">
        <w:t>Neni 2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Paragrafi"/>
      </w:pPr>
      <w:r w:rsidRPr="007C57BC">
        <w:t>Trashëgimtarët e ish-Familjes Mbretërore kanë të drejtë të disponojnë dhe të përdorin pronat e tyre, sipas ligjit “Për kthimin dhe kompensimin e pronave ish-pronarëve”, si dhe të ligjeve të tjera në fuqi.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NeniNr"/>
      </w:pPr>
      <w:r w:rsidRPr="007C57BC">
        <w:t>Neni 3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Paragrafi"/>
      </w:pPr>
      <w:r w:rsidRPr="007C57BC">
        <w:t>Trashëgimtarët e familjes së ish-Mbretit Zog I kanë të drejtë të mbajnë koleksione të ndryshme, të konsideruara pronë private, pasi ato të jenë regjistruar më parë në organet shtetërore përkatëse, në përputhje me rregullat ligjore në fuqi.</w:t>
      </w:r>
    </w:p>
    <w:p w:rsidR="00567060" w:rsidRDefault="00567060" w:rsidP="00567060">
      <w:pPr>
        <w:pStyle w:val="NeniNr"/>
      </w:pPr>
      <w:r w:rsidRPr="007C57BC">
        <w:t>Neni 4</w:t>
      </w:r>
    </w:p>
    <w:p w:rsidR="00567060" w:rsidRPr="00962DD8" w:rsidRDefault="00567060" w:rsidP="001B5284">
      <w:pPr>
        <w:pStyle w:val="Paragrafi"/>
      </w:pPr>
    </w:p>
    <w:p w:rsidR="00567060" w:rsidRPr="007C57BC" w:rsidRDefault="00567060" w:rsidP="00567060">
      <w:pPr>
        <w:pStyle w:val="Paragrafi"/>
      </w:pPr>
      <w:r w:rsidRPr="007C57BC">
        <w:t>Statusi dhe trajtimi protokollar i trashëgimtarëve të ish-Familjes Mbretërore përcaktohet me vendim të Këshillit të Ministrave, sipas legjislacionit në fuqi.</w:t>
      </w:r>
    </w:p>
    <w:p w:rsidR="00567060" w:rsidRPr="007C57BC" w:rsidRDefault="00567060" w:rsidP="00567060">
      <w:pPr>
        <w:pStyle w:val="Paragrafi"/>
      </w:pPr>
    </w:p>
    <w:p w:rsidR="00567060" w:rsidRDefault="00567060" w:rsidP="00567060">
      <w:pPr>
        <w:pStyle w:val="NeniNr"/>
      </w:pPr>
      <w:r w:rsidRPr="007C57BC">
        <w:t>Neni 5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Paragrafi"/>
      </w:pPr>
      <w:r w:rsidRPr="007C57BC">
        <w:t>Ngarkohet Këshilli i Ministrave që të nxjerrë aktet nënligjore në zbatim të neneve 1, 3 dhe 4 të këtij ligji.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NeniNr"/>
      </w:pPr>
      <w:r w:rsidRPr="007C57BC">
        <w:t>Neni 6</w:t>
      </w:r>
    </w:p>
    <w:p w:rsidR="00567060" w:rsidRPr="007C57BC" w:rsidRDefault="00567060" w:rsidP="00567060">
      <w:pPr>
        <w:pStyle w:val="Paragrafi"/>
      </w:pPr>
      <w:r w:rsidRPr="007C57BC">
        <w:t>Ky ligj hyn në fuqi 15 ditë pas botimit në Fletoren Zyrtare.</w:t>
      </w:r>
    </w:p>
    <w:p w:rsidR="00567060" w:rsidRPr="007C57BC" w:rsidRDefault="00567060" w:rsidP="00567060">
      <w:pPr>
        <w:pStyle w:val="Paragrafi"/>
      </w:pPr>
    </w:p>
    <w:p w:rsidR="00567060" w:rsidRPr="007C57BC" w:rsidRDefault="00567060" w:rsidP="00567060">
      <w:pPr>
        <w:pStyle w:val="Shpallja"/>
      </w:pPr>
      <w:r w:rsidRPr="007C57BC">
        <w:t xml:space="preserve">Shpallur me dekret nr.3829, datë 2.6.2003 të Presidentit të Republikës së Shqipërisë, </w:t>
      </w:r>
    </w:p>
    <w:p w:rsidR="00567060" w:rsidRPr="007C57BC" w:rsidRDefault="00567060" w:rsidP="00567060">
      <w:pPr>
        <w:pStyle w:val="Shpallja"/>
      </w:pPr>
      <w:r w:rsidRPr="007C57BC">
        <w:t>Alfred Moisiu</w:t>
      </w:r>
    </w:p>
    <w:p w:rsidR="00567060" w:rsidRPr="007C57BC" w:rsidRDefault="00567060" w:rsidP="00567060">
      <w:pPr>
        <w:pStyle w:val="Paragrafi"/>
      </w:pPr>
    </w:p>
    <w:p w:rsidR="00A0784B" w:rsidRPr="00567060" w:rsidRDefault="00A0784B" w:rsidP="00567060"/>
    <w:sectPr w:rsidR="00A0784B" w:rsidRPr="0056706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284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67060"/>
    <w:rsid w:val="0058563C"/>
    <w:rsid w:val="005A53C5"/>
    <w:rsid w:val="005D31D3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FC1AC0-76DE-4A37-A4D8-554A11B2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7060"/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