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C0" w:rsidRDefault="007C6BC0" w:rsidP="007C6BC0">
      <w:pPr>
        <w:pStyle w:val="Akti"/>
        <w:keepNext w:val="0"/>
      </w:pPr>
      <w:bookmarkStart w:id="0" w:name="_GoBack"/>
      <w:bookmarkEnd w:id="0"/>
      <w:r w:rsidRPr="00CA16D9">
        <w:t>LIGJ</w:t>
      </w:r>
    </w:p>
    <w:p w:rsidR="007C6BC0" w:rsidRPr="00CA16D9" w:rsidRDefault="007C6BC0" w:rsidP="007C6BC0">
      <w:pPr>
        <w:pStyle w:val="NumriData"/>
        <w:keepNext w:val="0"/>
      </w:pPr>
      <w:r w:rsidRPr="00CA16D9">
        <w:t>Nr.9211,</w:t>
      </w:r>
      <w:r>
        <w:t xml:space="preserve"> </w:t>
      </w:r>
      <w:r w:rsidRPr="00CA16D9">
        <w:t>datë 25.3.2004</w:t>
      </w:r>
    </w:p>
    <w:p w:rsidR="007C6BC0" w:rsidRDefault="007C6BC0" w:rsidP="007C6BC0">
      <w:pPr>
        <w:pStyle w:val="Paragrafi"/>
      </w:pPr>
    </w:p>
    <w:p w:rsidR="007C6BC0" w:rsidRPr="00CA16D9" w:rsidRDefault="007C6BC0" w:rsidP="007C6BC0">
      <w:pPr>
        <w:pStyle w:val="Titulli"/>
        <w:keepNext w:val="0"/>
      </w:pPr>
      <w:r w:rsidRPr="00CA16D9">
        <w:t>PËR ADERIMIN E REPUBLIKËS SË SHQIPËRISË NË MARRËVESHJEN EUROPIANE</w:t>
      </w:r>
      <w:r w:rsidR="00EE3FC8">
        <w:t xml:space="preserve"> </w:t>
      </w:r>
      <w:r w:rsidRPr="00CA16D9">
        <w:t>“PËR SHËNIMIN E RRUGËVE”, GJENEVË,1957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BazLigjPropozues"/>
        <w:keepNext w:val="0"/>
      </w:pPr>
      <w:r w:rsidRPr="00CA16D9">
        <w:t>Në  mbështetje të neneve 78, 83 pika 1 dhe 121 pika 1 të Kushtetutës, me propozimin e Këshillit të Ministrave,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Institucioni"/>
        <w:keepNext w:val="0"/>
      </w:pPr>
      <w:r w:rsidRPr="00CA16D9">
        <w:t>KUVENDI</w:t>
      </w:r>
    </w:p>
    <w:p w:rsidR="007C6BC0" w:rsidRPr="00CA16D9" w:rsidRDefault="007C6BC0" w:rsidP="007C6BC0">
      <w:pPr>
        <w:pStyle w:val="Institucioni"/>
        <w:keepNext w:val="0"/>
      </w:pPr>
      <w:r w:rsidRPr="00CA16D9">
        <w:t>I REPUBLIKËS SË SHQIPËRISË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VENDOSI"/>
        <w:keepNext w:val="0"/>
      </w:pPr>
      <w:r w:rsidRPr="00CA16D9">
        <w:t>VENDOSI: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1</w:t>
      </w:r>
    </w:p>
    <w:p w:rsidR="007C6BC0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Republika e Shqipërisë aderon në Marrëveshjen Europiane “Për shënimin e rrugëve”, Gjenevë,  më 13 dhjetor 1957.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2</w:t>
      </w:r>
    </w:p>
    <w:p w:rsidR="007C6BC0" w:rsidRPr="00CA16D9" w:rsidRDefault="007C6BC0" w:rsidP="007C6BC0">
      <w:pPr>
        <w:pStyle w:val="Paragrafi"/>
      </w:pPr>
    </w:p>
    <w:p w:rsidR="007C6BC0" w:rsidRDefault="007C6BC0" w:rsidP="007C6BC0">
      <w:pPr>
        <w:pStyle w:val="Paragrafi"/>
      </w:pPr>
      <w:r w:rsidRPr="00CA16D9">
        <w:t>Ky ligj hyn në fuqi 15 ditë pas botimit në Fletoren Zyrtare.</w:t>
      </w:r>
    </w:p>
    <w:p w:rsidR="007C6BC0" w:rsidRDefault="007C6BC0" w:rsidP="007C6BC0">
      <w:pPr>
        <w:pStyle w:val="Paragrafi"/>
      </w:pPr>
    </w:p>
    <w:p w:rsidR="007C6BC0" w:rsidRPr="00EA45F6" w:rsidRDefault="007C6BC0" w:rsidP="007C6BC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nr.4205, datë 14.4</w:t>
      </w:r>
      <w:r w:rsidRPr="00EA45F6">
        <w:rPr>
          <w:sz w:val="23"/>
          <w:szCs w:val="23"/>
        </w:rPr>
        <w:t>.2004 të Presidentit të Republikës së Shqipërisë, Alfred Moisiu</w:t>
      </w:r>
    </w:p>
    <w:p w:rsidR="007C6BC0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E/ECE/303</w:t>
      </w:r>
    </w:p>
    <w:p w:rsidR="007C6BC0" w:rsidRPr="00CA16D9" w:rsidRDefault="007C6BC0" w:rsidP="007C6BC0">
      <w:pPr>
        <w:pStyle w:val="Paragrafi"/>
      </w:pPr>
      <w:r w:rsidRPr="00CA16D9">
        <w:t>E/ECE/TRANS/501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KOMISIONI EKONOMIK PËR EUROPËN</w:t>
      </w:r>
    </w:p>
    <w:p w:rsidR="007C6BC0" w:rsidRPr="00CA16D9" w:rsidRDefault="007C6BC0" w:rsidP="007C6BC0">
      <w:pPr>
        <w:pStyle w:val="Paragrafi"/>
      </w:pPr>
      <w:r w:rsidRPr="00CA16D9">
        <w:t xml:space="preserve">KOMITETI </w:t>
      </w:r>
      <w:r>
        <w:t xml:space="preserve">I </w:t>
      </w:r>
      <w:r w:rsidRPr="00CA16D9">
        <w:t>TRANSPORTIT TOKËSOR</w:t>
      </w:r>
    </w:p>
    <w:p w:rsidR="007C6BC0" w:rsidRPr="00A06A05" w:rsidRDefault="007C6BC0" w:rsidP="007C6BC0">
      <w:pPr>
        <w:pStyle w:val="Paragrafi"/>
        <w:rPr>
          <w:lang w:val="en-GB"/>
        </w:rPr>
      </w:pPr>
    </w:p>
    <w:p w:rsidR="007C6BC0" w:rsidRPr="00EE3FC8" w:rsidRDefault="007C6BC0" w:rsidP="00EE3FC8">
      <w:pPr>
        <w:pStyle w:val="TitulliTitull"/>
        <w:rPr>
          <w:b/>
        </w:rPr>
      </w:pPr>
      <w:r w:rsidRPr="00EE3FC8">
        <w:rPr>
          <w:b/>
        </w:rPr>
        <w:t xml:space="preserve">MARRËVESHJA </w:t>
      </w:r>
    </w:p>
    <w:p w:rsidR="007C6BC0" w:rsidRPr="00CA16D9" w:rsidRDefault="007C6BC0" w:rsidP="007C6BC0">
      <w:pPr>
        <w:pStyle w:val="TitulliTitull"/>
        <w:keepNext w:val="0"/>
      </w:pPr>
      <w:r w:rsidRPr="00CA16D9">
        <w:t>EUROPIANE PËR SHËNIMIN E RRUGËVE</w:t>
      </w:r>
      <w:r>
        <w:t>,</w:t>
      </w:r>
      <w:r w:rsidRPr="00CA16D9">
        <w:t xml:space="preserve"> bërë në Gjenevë</w:t>
      </w:r>
      <w:r>
        <w:t>,</w:t>
      </w:r>
      <w:r w:rsidRPr="00CA16D9">
        <w:t xml:space="preserve"> më 13 Dhjetor 1957</w:t>
      </w:r>
      <w:r>
        <w:t xml:space="preserve"> 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>
        <w:t>Palët K</w:t>
      </w:r>
      <w:r w:rsidRPr="00CA16D9">
        <w:t>ontraktuese</w:t>
      </w:r>
      <w:r>
        <w:t>,</w:t>
      </w:r>
    </w:p>
    <w:p w:rsidR="007C6BC0" w:rsidRPr="00CA16D9" w:rsidRDefault="007C6BC0" w:rsidP="007C6BC0">
      <w:pPr>
        <w:pStyle w:val="Paragrafi"/>
      </w:pPr>
      <w:r>
        <w:rPr>
          <w:i/>
        </w:rPr>
        <w:t>d</w:t>
      </w:r>
      <w:r w:rsidRPr="00E302CD">
        <w:rPr>
          <w:i/>
        </w:rPr>
        <w:t>uke dëshiruar</w:t>
      </w:r>
      <w:r w:rsidRPr="00CA16D9">
        <w:t xml:space="preserve"> të kontrib</w:t>
      </w:r>
      <w:r>
        <w:t>u</w:t>
      </w:r>
      <w:r w:rsidRPr="00CA16D9">
        <w:t>ojnë mbi sigurinë e trafikut rrugor ndërkombëta</w:t>
      </w:r>
      <w:r>
        <w:t>r me anë të uniformitetit të she</w:t>
      </w:r>
      <w:r w:rsidRPr="00CA16D9">
        <w:t>njave të rrugës,</w:t>
      </w:r>
    </w:p>
    <w:p w:rsidR="007C6BC0" w:rsidRPr="00CA16D9" w:rsidRDefault="007C6BC0" w:rsidP="007C6BC0">
      <w:pPr>
        <w:pStyle w:val="Paragrafi"/>
      </w:pPr>
      <w:r>
        <w:t>kanë  rënë dakord</w:t>
      </w:r>
      <w:r w:rsidRPr="00CA16D9">
        <w:t xml:space="preserve"> si më poshtë:</w:t>
      </w:r>
    </w:p>
    <w:p w:rsidR="007C6BC0" w:rsidRPr="00754EA3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NeniNr"/>
        <w:keepNext w:val="0"/>
      </w:pPr>
      <w:r w:rsidRPr="00CA16D9">
        <w:t>Neni 1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Me qëllim të kësaj Marrëveshje</w:t>
      </w:r>
      <w:r>
        <w:t>je</w:t>
      </w:r>
      <w:r w:rsidRPr="00CA16D9">
        <w:t>:</w:t>
      </w:r>
    </w:p>
    <w:p w:rsidR="007C6BC0" w:rsidRPr="00CA16D9" w:rsidRDefault="007C6BC0" w:rsidP="007C6BC0">
      <w:pPr>
        <w:pStyle w:val="Paragrafi"/>
      </w:pPr>
      <w:r w:rsidRPr="00CA16D9">
        <w:t xml:space="preserve">a) Termi “shenja të </w:t>
      </w:r>
      <w:r>
        <w:t>rrugës” nënkupton shenjat mbi s</w:t>
      </w:r>
      <w:r w:rsidRPr="00CA16D9">
        <w:t>ipërfaqen e rrugëve udhëtuese ose në pjesët e saj ndihmëse</w:t>
      </w:r>
      <w:r>
        <w:t>,</w:t>
      </w:r>
      <w:r w:rsidRPr="00CA16D9">
        <w:t xml:space="preserve"> si anësoret e rrugëve, rrugica kalimtarësh, bordurat për udhëzim dhe rregullim ose për përdoruesit e rrugës.</w:t>
      </w:r>
    </w:p>
    <w:p w:rsidR="007C6BC0" w:rsidRPr="00CA16D9" w:rsidRDefault="007C6BC0" w:rsidP="007C6BC0">
      <w:pPr>
        <w:pStyle w:val="Paragrafi"/>
      </w:pPr>
      <w:r w:rsidRPr="00CA16D9">
        <w:t>b) Termi: “sipërfaqe e shënuar” nënkupton shenjat e rrugëve mbi sipërfaqen e r</w:t>
      </w:r>
      <w:r>
        <w:t>r</w:t>
      </w:r>
      <w:r w:rsidRPr="00CA16D9">
        <w:t>ugëve udhëtuese.</w:t>
      </w:r>
    </w:p>
    <w:p w:rsidR="007C6BC0" w:rsidRPr="00CA16D9" w:rsidRDefault="007C6BC0" w:rsidP="007C6BC0">
      <w:pPr>
        <w:pStyle w:val="Paragrafi"/>
      </w:pPr>
      <w:r w:rsidRPr="00CA16D9">
        <w:t>2. Me qëllim të kë</w:t>
      </w:r>
      <w:r>
        <w:t>s</w:t>
      </w:r>
      <w:r w:rsidRPr="00CA16D9">
        <w:t>aj Marrëveshje</w:t>
      </w:r>
      <w:r>
        <w:t>je</w:t>
      </w:r>
      <w:r w:rsidRPr="00CA16D9">
        <w:t>, shenjat e sipërfaqes do të klasifikohen si më poshtë:</w:t>
      </w:r>
    </w:p>
    <w:p w:rsidR="007C6BC0" w:rsidRPr="00CA16D9" w:rsidRDefault="007C6BC0" w:rsidP="007C6BC0">
      <w:pPr>
        <w:pStyle w:val="Paragrafi"/>
      </w:pPr>
      <w:r>
        <w:t>a) shenja gjatësore</w:t>
      </w:r>
    </w:p>
    <w:p w:rsidR="007C6BC0" w:rsidRPr="00CA16D9" w:rsidRDefault="007C6BC0" w:rsidP="007C6BC0">
      <w:pPr>
        <w:pStyle w:val="Paragrafi"/>
      </w:pPr>
      <w:r>
        <w:t>b) shenja tërthore</w:t>
      </w:r>
    </w:p>
    <w:p w:rsidR="007C6BC0" w:rsidRPr="00CA16D9" w:rsidRDefault="007C6BC0" w:rsidP="007C6BC0">
      <w:pPr>
        <w:pStyle w:val="Paragrafi"/>
      </w:pPr>
      <w:r>
        <w:t>c) shenja të tjera</w:t>
      </w:r>
    </w:p>
    <w:p w:rsidR="007C6BC0" w:rsidRPr="00CA16D9" w:rsidRDefault="007C6BC0" w:rsidP="007C6BC0">
      <w:pPr>
        <w:pStyle w:val="NeniNr"/>
        <w:keepNext w:val="0"/>
      </w:pPr>
      <w:r w:rsidRPr="00CA16D9">
        <w:t>Neni 2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lastRenderedPageBreak/>
        <w:t>1. Shenjat gjatësore konsistojnë në vija të vazhdueshme dhe në vija të ndërprera.</w:t>
      </w:r>
    </w:p>
    <w:p w:rsidR="007C6BC0" w:rsidRPr="00CA16D9" w:rsidRDefault="007C6BC0" w:rsidP="007C6BC0">
      <w:pPr>
        <w:pStyle w:val="Paragrafi"/>
      </w:pPr>
      <w:r w:rsidRPr="00CA16D9">
        <w:t>2. Kur shenjat gjatësore kon</w:t>
      </w:r>
      <w:r>
        <w:t>sistojnë në vija të vazhdueshme</w:t>
      </w:r>
      <w:r w:rsidRPr="00CA16D9">
        <w:t xml:space="preserve"> nuk lejohet asnjë automjet të kalojë </w:t>
      </w:r>
      <w:r>
        <w:t>në anën tjetër të tyre ose të ka</w:t>
      </w:r>
      <w:r w:rsidRPr="00CA16D9">
        <w:t>lojë sipër tyre. Përjashtime nga ky rregull mund të bëhet vetëm me</w:t>
      </w:r>
      <w:r>
        <w:t xml:space="preserve"> anë të autorizimit të secilës P</w:t>
      </w:r>
      <w:r w:rsidRPr="00CA16D9">
        <w:t xml:space="preserve">alë Kontraktuese dhe kur është e nevojshme për të dhënë akses gjatë rrugës. </w:t>
      </w:r>
    </w:p>
    <w:p w:rsidR="007C6BC0" w:rsidRPr="00CA16D9" w:rsidRDefault="007C6BC0" w:rsidP="007C6BC0">
      <w:pPr>
        <w:pStyle w:val="Paragrafi"/>
      </w:pPr>
      <w:r w:rsidRPr="00CA16D9">
        <w:t>3. Kur shenjat gjatësore konsistojnë në vija të ndërprera, automjetet janë të lejuara të kalojnë në anën tjetër të tyre, duke siguruar respektimin e rregullave të trafikut. Vijat e ndërprera mund të jenë të formave të ndryshme</w:t>
      </w:r>
      <w:r>
        <w:t>,</w:t>
      </w:r>
      <w:r w:rsidRPr="00CA16D9">
        <w:t xml:space="preserve"> në përputhje me kushtet dhe rrethanat.</w:t>
      </w:r>
    </w:p>
    <w:p w:rsidR="007C6BC0" w:rsidRPr="00CA16D9" w:rsidRDefault="007C6BC0" w:rsidP="007C6BC0">
      <w:pPr>
        <w:pStyle w:val="Paragrafi"/>
      </w:pPr>
      <w:r w:rsidRPr="00CA16D9">
        <w:t>4. Kur shenjat gjatësore konsistojnë në linja të vazhdueshme në afërsi të një vije të ndërprerë, ajo nënkupton linjën më të afërt tek automjeti në fillim të manovrës.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3</w:t>
      </w:r>
    </w:p>
    <w:p w:rsidR="007C6BC0" w:rsidRPr="00197A71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Paragrafi"/>
      </w:pPr>
      <w:r w:rsidRPr="00CA16D9">
        <w:t>1. Shenjat</w:t>
      </w:r>
      <w:r>
        <w:t xml:space="preserve"> gjatësore konsistojnë në vija </w:t>
      </w:r>
      <w:r w:rsidRPr="00CA16D9">
        <w:t>të vazhdueshme</w:t>
      </w:r>
      <w:r>
        <w:t xml:space="preserve"> dhe</w:t>
      </w:r>
      <w:r w:rsidRPr="00CA16D9">
        <w:t xml:space="preserve"> në  vija të ndërprera.</w:t>
      </w:r>
    </w:p>
    <w:p w:rsidR="007C6BC0" w:rsidRPr="00CA16D9" w:rsidRDefault="007C6BC0" w:rsidP="007C6BC0">
      <w:pPr>
        <w:pStyle w:val="Paragrafi"/>
      </w:pPr>
      <w:r w:rsidRPr="00CA16D9">
        <w:t xml:space="preserve">2. Kur një shenjë </w:t>
      </w:r>
      <w:r>
        <w:t>tërthore konsiston në një vijë të</w:t>
      </w:r>
      <w:r w:rsidRPr="00CA16D9">
        <w:t xml:space="preserve"> vazhdueshme që kalon në një ose më shumë rrugëkalime, ajo duhet të tregojë vijën pas së cilë</w:t>
      </w:r>
      <w:r>
        <w:t>s</w:t>
      </w:r>
      <w:r w:rsidRPr="00CA16D9">
        <w:t xml:space="preserve"> drejtuesi i automjetit duhet të ndalojë kur vepron në përputhje me një shenjë “Ndalo kryqëzim”, me anë të një treguesi të dhënë  nga një sinjal i semaforit të trafikut ose të një kontrollori trafiku, ose me anë të një rregulluesi tjetër të trafikut.</w:t>
      </w:r>
    </w:p>
    <w:p w:rsidR="007C6BC0" w:rsidRDefault="007C6BC0" w:rsidP="007C6BC0">
      <w:pPr>
        <w:pStyle w:val="Paragrafi"/>
      </w:pPr>
      <w:r w:rsidRPr="00CA16D9">
        <w:t>3. Një shenjë tërthore që konsiston në një vijë të ndërprerë mund të përdoret në rastet e treguara në rekomandimet e a</w:t>
      </w:r>
      <w:r>
        <w:t>doptuara në mbledhjen në të cilë</w:t>
      </w:r>
      <w:r w:rsidRPr="00CA16D9">
        <w:t>n përfaqësuesit e Palës Kontraktuese kanë marrë pjesë ose që janë ftuar të marrin pjesë.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4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Shenja të tjera në sipërfaqe</w:t>
      </w:r>
      <w:r>
        <w:t>, si shigjeta</w:t>
      </w:r>
      <w:r w:rsidRPr="00CA16D9">
        <w:t xml:space="preserve">, vija paralele të pjerrëta ose fjalë të vizatuara në rrugët e udhëtimit mund të përdoren për të përsëritur treguesit e dhënë </w:t>
      </w:r>
      <w:r>
        <w:t>nga shenja vertikale ose për t’</w:t>
      </w:r>
      <w:r w:rsidRPr="00CA16D9">
        <w:t>u dhënë përdoruesve të rrugës të dhëna</w:t>
      </w:r>
      <w:r>
        <w:t>,</w:t>
      </w:r>
      <w:r w:rsidRPr="00CA16D9">
        <w:t xml:space="preserve"> të cilat nuk janë të përshtatshme të jepen nga shenja vertikale.</w:t>
      </w:r>
    </w:p>
    <w:p w:rsidR="007C6BC0" w:rsidRPr="00CA16D9" w:rsidRDefault="007C6BC0" w:rsidP="007C6BC0">
      <w:pPr>
        <w:pStyle w:val="NeniNr"/>
        <w:keepNext w:val="0"/>
      </w:pPr>
      <w:r w:rsidRPr="00CA16D9">
        <w:t>Neni 5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Çdo Pa</w:t>
      </w:r>
      <w:r>
        <w:t>lë</w:t>
      </w:r>
      <w:r w:rsidRPr="00CA16D9">
        <w:t xml:space="preserve"> Kontraktuese mund të përdorë për shenja të rrugëve në formën e unazave, por në rastet e shenjave në sipërfaqe do të kërkohet me qëllim për të shmangur të gjitha mundësit</w:t>
      </w:r>
      <w:r>
        <w:t>ë</w:t>
      </w:r>
      <w:r w:rsidRPr="00CA16D9">
        <w:t xml:space="preserve"> e konfuzionit, që unazat të vendosen në intervale të ndryshme për vijat e vazhdueshme dhe të ndërprera.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6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Shenjat e rrugëve në sipërfaqe duhet të jenë të verdha ose të bardha; më vonë</w:t>
      </w:r>
      <w:r>
        <w:t>,</w:t>
      </w:r>
      <w:r w:rsidRPr="00CA16D9">
        <w:t xml:space="preserve"> sidoqoftë</w:t>
      </w:r>
      <w:r>
        <w:t>, ato mund të zë</w:t>
      </w:r>
      <w:r w:rsidRPr="00CA16D9">
        <w:t>vendë</w:t>
      </w:r>
      <w:r>
        <w:t>sohen me hije si në ngjyrë argje</w:t>
      </w:r>
      <w:r w:rsidRPr="00CA16D9">
        <w:t xml:space="preserve">ndi ose në gri të lehtë. </w:t>
      </w:r>
    </w:p>
    <w:p w:rsidR="007C6BC0" w:rsidRPr="00CA16D9" w:rsidRDefault="007C6BC0" w:rsidP="007C6BC0">
      <w:pPr>
        <w:pStyle w:val="Paragrafi"/>
      </w:pPr>
      <w:r w:rsidRPr="00CA16D9">
        <w:t>2. Kur përdoren të dy</w:t>
      </w:r>
      <w:r>
        <w:t>ja</w:t>
      </w:r>
      <w:r w:rsidRPr="00CA16D9">
        <w:t xml:space="preserve"> </w:t>
      </w:r>
      <w:r>
        <w:t>ngjyrat në një shtet të veçantë</w:t>
      </w:r>
      <w:r w:rsidRPr="00CA16D9">
        <w:t xml:space="preserve"> njëra duhet të përdoret për shenjat që kanë për qëllim tra</w:t>
      </w:r>
      <w:r>
        <w:t>fikun lëvizës të automjeteve se</w:t>
      </w:r>
      <w:r w:rsidRPr="00CA16D9">
        <w:t>sa si vija kufizuese dhe tjetra mund të përdoret për shenjat që tregojnë parkim dhe rregullat në pritje.</w:t>
      </w:r>
    </w:p>
    <w:p w:rsidR="007C6BC0" w:rsidRPr="00CA16D9" w:rsidRDefault="007C6BC0" w:rsidP="007C6BC0">
      <w:pPr>
        <w:pStyle w:val="Paragrafi"/>
      </w:pPr>
      <w:r>
        <w:t>Dhe për vijat kufizuese</w:t>
      </w:r>
      <w:r w:rsidRPr="00CA16D9">
        <w:t xml:space="preserve"> shenjat që kanë për qëllim këmbësorët</w:t>
      </w:r>
      <w:r>
        <w:t xml:space="preserve"> ose çiklistë</w:t>
      </w:r>
      <w:r w:rsidRPr="00CA16D9">
        <w:t>t, sidoqoftë duhet të jenë në të njëjtën ngjyrë.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7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Shenjat mund të përdoren në pjesët ndihmëse të rrugëve,</w:t>
      </w:r>
      <w:r>
        <w:t xml:space="preserve"> veçanërisht në anësorët ose te</w:t>
      </w:r>
      <w:r w:rsidRPr="00CA16D9">
        <w:t xml:space="preserve"> bordurat, për të përmirësuar shikimin, veçanërisht natën të anësorëve ose të pengesave të rrugës. Ato gjithashtu mund të përdoren për të treguar zona ku ndalimi në pritje është i ndaluar ose për të dhënë tregime të tjera të ngjashme.</w:t>
      </w:r>
    </w:p>
    <w:p w:rsidR="007C6BC0" w:rsidRPr="00CA16D9" w:rsidRDefault="007C6BC0" w:rsidP="007C6BC0">
      <w:pPr>
        <w:pStyle w:val="Paragrafi"/>
      </w:pPr>
      <w:r>
        <w:t>2. Çdo Palë</w:t>
      </w:r>
      <w:r w:rsidRPr="00CA16D9">
        <w:t xml:space="preserve"> Kontraktuese duhet të përdorë të njëjtën ngjyrë ose të përdorë kombinime të ngjyrave për të gjitha shenjat e rrugëve të të njëjtit tip në pjesët ndihmëse të rrugëve.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8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 xml:space="preserve">Gjatë procesit të vendosjes ose rinovimit të shenjave të rrugës, Palët Kontraktuese duhet të </w:t>
      </w:r>
      <w:r w:rsidRPr="00CA16D9">
        <w:lastRenderedPageBreak/>
        <w:t>aplikojnë  rekomandimet e adoptuara në mbledhjen në të cilën përfaqësuesit e Palëve Kontraktuese kanë marrë pjesë ose që janë ftuar të marrin pjesë.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</w:t>
      </w:r>
      <w:r>
        <w:t xml:space="preserve"> </w:t>
      </w:r>
      <w:r w:rsidRPr="00CA16D9">
        <w:t>9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Vendet an</w:t>
      </w:r>
      <w:r>
        <w:t>ë</w:t>
      </w:r>
      <w:r w:rsidRPr="00CA16D9">
        <w:t>tare të Komisionit Ekonomik për Europën dhe</w:t>
      </w:r>
      <w:r>
        <w:t xml:space="preserve"> vendet e pranuara në K</w:t>
      </w:r>
      <w:r w:rsidRPr="00CA16D9">
        <w:t>omision me cilësinë e konsulencës</w:t>
      </w:r>
      <w:r>
        <w:t>,</w:t>
      </w:r>
      <w:r w:rsidRPr="00CA16D9">
        <w:t xml:space="preserve"> sipas paragrafit 8 të Termave të Referencës së Komisionit</w:t>
      </w:r>
      <w:r>
        <w:t>,</w:t>
      </w:r>
      <w:r w:rsidRPr="00CA16D9">
        <w:t xml:space="preserve"> mund të bëhen Palë Kontraktuese në këtë Marrëveshje:</w:t>
      </w:r>
    </w:p>
    <w:p w:rsidR="007C6BC0" w:rsidRPr="00CA16D9" w:rsidRDefault="007C6BC0" w:rsidP="007C6BC0">
      <w:pPr>
        <w:pStyle w:val="Paragrafi"/>
      </w:pPr>
      <w:r w:rsidRPr="00CA16D9">
        <w:t>a) duke e nënshkruar atë;</w:t>
      </w:r>
    </w:p>
    <w:p w:rsidR="007C6BC0" w:rsidRPr="00CA16D9" w:rsidRDefault="007C6BC0" w:rsidP="007C6BC0">
      <w:pPr>
        <w:pStyle w:val="Paragrafi"/>
      </w:pPr>
      <w:r w:rsidRPr="00CA16D9">
        <w:t>b) duke</w:t>
      </w:r>
      <w:r>
        <w:t xml:space="preserve"> e</w:t>
      </w:r>
      <w:r w:rsidRPr="00CA16D9">
        <w:t xml:space="preserve"> ratifikuar atë pas nënshkrimit</w:t>
      </w:r>
      <w:r>
        <w:t>,</w:t>
      </w:r>
      <w:r w:rsidRPr="00CA16D9">
        <w:t xml:space="preserve"> subjekt i ratifikimit;</w:t>
      </w:r>
    </w:p>
    <w:p w:rsidR="007C6BC0" w:rsidRPr="00CA16D9" w:rsidRDefault="007C6BC0" w:rsidP="007C6BC0">
      <w:pPr>
        <w:pStyle w:val="Paragrafi"/>
      </w:pPr>
      <w:r>
        <w:t>c) duke u pranuar në të.</w:t>
      </w:r>
    </w:p>
    <w:p w:rsidR="007C6BC0" w:rsidRPr="00CA16D9" w:rsidRDefault="007C6BC0" w:rsidP="007C6BC0">
      <w:pPr>
        <w:pStyle w:val="Paragrafi"/>
      </w:pPr>
      <w:r w:rsidRPr="00CA16D9">
        <w:t>2. Disa vende mund të marrin pjesë në disa aktivitete të  Komisionit Ekonomik për Europën</w:t>
      </w:r>
      <w:r>
        <w:t>,</w:t>
      </w:r>
      <w:r w:rsidRPr="00CA16D9">
        <w:t xml:space="preserve">  në përputhje me </w:t>
      </w:r>
      <w:r>
        <w:t>paragrafin</w:t>
      </w:r>
      <w:r w:rsidRPr="00CA16D9">
        <w:t xml:space="preserve"> 11 të Termave të Referencës së Komisionit</w:t>
      </w:r>
      <w:r>
        <w:t>,</w:t>
      </w:r>
      <w:r w:rsidRPr="00CA16D9">
        <w:t xml:space="preserve"> mund të bëhen Palë Kontraktuese në këtë Marrëveshje duke e pranuar atë pas hyrjes së saj në fuqi. </w:t>
      </w:r>
    </w:p>
    <w:p w:rsidR="007C6BC0" w:rsidRPr="00CA16D9" w:rsidRDefault="007C6BC0" w:rsidP="007C6BC0">
      <w:pPr>
        <w:pStyle w:val="Paragrafi"/>
      </w:pPr>
      <w:r w:rsidRPr="00CA16D9">
        <w:t>3. Marrëveshja do të jetë e hapur për nënshkrim deri më 28 shkurt 1958. Pas kësaj ajo do të jetë e hapur për aderim.</w:t>
      </w:r>
    </w:p>
    <w:p w:rsidR="007C6BC0" w:rsidRPr="00CA16D9" w:rsidRDefault="007C6BC0" w:rsidP="007C6BC0">
      <w:pPr>
        <w:pStyle w:val="Paragrafi"/>
      </w:pPr>
      <w:r w:rsidRPr="00CA16D9">
        <w:t xml:space="preserve">4. Ratifikimi ose pranimi do të jetë efektiv duke </w:t>
      </w:r>
      <w:r>
        <w:t>depozituar ndonjë instrument te</w:t>
      </w:r>
      <w:r w:rsidRPr="00CA16D9">
        <w:t xml:space="preserve"> Sekretari i Përgjithshëm i Kombeve të Bashkuara. 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10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Kjo Marrëveshje do të hyjë në fuqi ditën e nëntëdhjetë pasi pesë nga vendet e referuara në ne</w:t>
      </w:r>
      <w:r>
        <w:t>nin 9</w:t>
      </w:r>
      <w:r w:rsidRPr="00CA16D9">
        <w:t xml:space="preserve"> paragrafi 1 ta kenë nënshkruar atë pa rezerva ose ta kenë ratifikuar</w:t>
      </w:r>
      <w:r>
        <w:t>,</w:t>
      </w:r>
      <w:r w:rsidRPr="00CA16D9">
        <w:t xml:space="preserve"> os</w:t>
      </w:r>
      <w:r>
        <w:t>e të kenë depozituar instrumente</w:t>
      </w:r>
      <w:r w:rsidRPr="00CA16D9">
        <w:t>t e tyre</w:t>
      </w:r>
      <w:r>
        <w:t xml:space="preserve"> të ratifikimit ose të aderimit</w:t>
      </w:r>
      <w:r w:rsidRPr="00CA16D9">
        <w:t>.</w:t>
      </w:r>
    </w:p>
    <w:p w:rsidR="007C6BC0" w:rsidRDefault="007C6BC0" w:rsidP="007C6BC0">
      <w:pPr>
        <w:pStyle w:val="Paragrafi"/>
      </w:pPr>
      <w:r>
        <w:t>2. Për çdo vend që e ra</w:t>
      </w:r>
      <w:r w:rsidRPr="004E1679">
        <w:t xml:space="preserve">tifikon ose </w:t>
      </w:r>
      <w:r>
        <w:t xml:space="preserve">e </w:t>
      </w:r>
      <w:r w:rsidRPr="004E1679">
        <w:t>pranon atë</w:t>
      </w:r>
      <w:r>
        <w:t>,</w:t>
      </w:r>
      <w:r w:rsidRPr="004E1679">
        <w:t xml:space="preserve"> pasi pesë vendet e kanë nënshkruar atë pa rezer</w:t>
      </w:r>
      <w:r>
        <w:t>va ose ta kenë ratifikuar, ose t'i</w:t>
      </w:r>
      <w:r w:rsidRPr="004E1679">
        <w:t xml:space="preserve"> kenë depozituar instrumentet e tyre të ratifikimit ose të aderimit.</w:t>
      </w:r>
    </w:p>
    <w:p w:rsidR="007C6BC0" w:rsidRPr="00CA16D9" w:rsidRDefault="007C6BC0" w:rsidP="007C6BC0">
      <w:pPr>
        <w:pStyle w:val="Paragrafi"/>
      </w:pPr>
      <w:r w:rsidRPr="00CA16D9">
        <w:t xml:space="preserve">Kjo Marrëveshje do të hyjë në fuqi në ditën e nëntëdhjetë </w:t>
      </w:r>
      <w:r>
        <w:t>pasi vendet e sipërpërmendura t'i</w:t>
      </w:r>
      <w:r w:rsidRPr="00CA16D9">
        <w:t xml:space="preserve"> kenë depozituar instrumentet e tyre të ratifikimit ose të aderimit.</w:t>
      </w:r>
    </w:p>
    <w:p w:rsidR="007C6BC0" w:rsidRPr="00CA16D9" w:rsidRDefault="007C6BC0" w:rsidP="007C6BC0">
      <w:pPr>
        <w:pStyle w:val="Paragrafi"/>
      </w:pPr>
      <w:r w:rsidRPr="00CA16D9">
        <w:t xml:space="preserve"> </w:t>
      </w:r>
    </w:p>
    <w:p w:rsidR="007C6BC0" w:rsidRPr="00CA16D9" w:rsidRDefault="007C6BC0" w:rsidP="007C6BC0">
      <w:pPr>
        <w:pStyle w:val="NeniNr"/>
        <w:keepNext w:val="0"/>
      </w:pPr>
      <w:r w:rsidRPr="00CA16D9">
        <w:t>Neni 11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Çdo Palë</w:t>
      </w:r>
      <w:r>
        <w:t xml:space="preserve"> Kontraktuese mund të denoncojë </w:t>
      </w:r>
      <w:r w:rsidRPr="00CA16D9">
        <w:t>këtë Marrëveshje</w:t>
      </w:r>
      <w:r>
        <w:t>,</w:t>
      </w:r>
      <w:r w:rsidRPr="00CA16D9">
        <w:t xml:space="preserve"> duke njoftuar Sekretarin e Përgjithshëm të  Kombeve të Bashkuara. </w:t>
      </w:r>
    </w:p>
    <w:p w:rsidR="007C6BC0" w:rsidRPr="00CA16D9" w:rsidRDefault="007C6BC0" w:rsidP="007C6BC0">
      <w:pPr>
        <w:pStyle w:val="Paragrafi"/>
      </w:pPr>
      <w:r w:rsidRPr="00CA16D9">
        <w:t xml:space="preserve"> 2. Denoncimi do të merret në konsideratë pesëmbëdhjetë muaj pas datës së marrje</w:t>
      </w:r>
      <w:r>
        <w:t>s së</w:t>
      </w:r>
      <w:r w:rsidRPr="00CA16D9">
        <w:t xml:space="preserve"> njoftimit të denoncimit</w:t>
      </w:r>
      <w:r>
        <w:t xml:space="preserve"> nga Sekretari i Përgjithshëm</w:t>
      </w:r>
      <w:r w:rsidRPr="00CA16D9">
        <w:t xml:space="preserve">. 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12</w:t>
      </w:r>
    </w:p>
    <w:p w:rsidR="007C6BC0" w:rsidRPr="00CA16D9" w:rsidRDefault="007C6BC0" w:rsidP="007C6BC0">
      <w:pPr>
        <w:pStyle w:val="Paragrafi"/>
      </w:pPr>
    </w:p>
    <w:p w:rsidR="007C6BC0" w:rsidRDefault="007C6BC0" w:rsidP="007C6BC0">
      <w:pPr>
        <w:pStyle w:val="Paragrafi"/>
      </w:pPr>
      <w:r>
        <w:t>Kjo M</w:t>
      </w:r>
      <w:r w:rsidRPr="00CA16D9">
        <w:t>arr</w:t>
      </w:r>
      <w:r>
        <w:t>ëveshje nuk do të jetë efektive</w:t>
      </w:r>
      <w:r w:rsidRPr="00CA16D9">
        <w:t xml:space="preserve"> për një periudhë prej dymbëdhjetë muajsh në vazhdimësi pasi ajo ka hyrë në fuqi, kur numri i Palëve Kontraktuese është më pak se pesë.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13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>1. Çdo vend</w:t>
      </w:r>
      <w:r>
        <w:t>,</w:t>
      </w:r>
      <w:r w:rsidRPr="00CA16D9">
        <w:t xml:space="preserve"> që në kohën e nënshkrimit të kësaj Marrëveshje</w:t>
      </w:r>
      <w:r>
        <w:t>je</w:t>
      </w:r>
      <w:r w:rsidRPr="00CA16D9">
        <w:t xml:space="preserve"> pa rezerva ose të ratifikimit o</w:t>
      </w:r>
      <w:r>
        <w:t>se të depozitimit të instrumente</w:t>
      </w:r>
      <w:r w:rsidRPr="00CA16D9">
        <w:t xml:space="preserve">ve të tij ose të ratifikimit ose të aderimit në çdo kohë tjetër, </w:t>
      </w:r>
      <w:r>
        <w:t xml:space="preserve">mund </w:t>
      </w:r>
      <w:r w:rsidRPr="00CA16D9">
        <w:t>të deklarojë duke njoftuar në adresë të Sekretarit të Përgjithshëm të Kombeve të Bashkuara se kjo Marrëveshje do t</w:t>
      </w:r>
      <w:r>
        <w:t>ë shtrihet te</w:t>
      </w:r>
      <w:r w:rsidRPr="00CA16D9">
        <w:t xml:space="preserve"> të gjithë ose në ndonjë nga territoret për marrëdhënie ndërkombëtare për të cilat ajo është përgjegjëse. </w:t>
      </w:r>
    </w:p>
    <w:p w:rsidR="007C6BC0" w:rsidRPr="00CA16D9" w:rsidRDefault="007C6BC0" w:rsidP="007C6BC0">
      <w:pPr>
        <w:pStyle w:val="Paragrafi"/>
      </w:pPr>
      <w:r>
        <w:t>Kjo Marrëveshje do të sht</w:t>
      </w:r>
      <w:r w:rsidRPr="00CA16D9">
        <w:t xml:space="preserve">rihet në territorin ose territoret e emëruara në njoftim që nga dita e nëntëdhjetë e marrjes nga Sekretari </w:t>
      </w:r>
      <w:r>
        <w:t>i</w:t>
      </w:r>
      <w:r w:rsidRPr="00CA16D9">
        <w:t xml:space="preserve"> Përgjithshëm, ose në</w:t>
      </w:r>
      <w:r>
        <w:t>se në</w:t>
      </w:r>
      <w:r w:rsidRPr="00CA16D9">
        <w:t xml:space="preserve"> këtë ditë Marrëveshja akoma nuk ka hyrë në fuqi, që nga hyrja e saj në fuqi.</w:t>
      </w:r>
    </w:p>
    <w:p w:rsidR="007C6BC0" w:rsidRPr="00CA16D9" w:rsidRDefault="007C6BC0" w:rsidP="007C6BC0">
      <w:pPr>
        <w:pStyle w:val="Paragrafi"/>
      </w:pPr>
      <w:r w:rsidRPr="00CA16D9">
        <w:t>2. Çdo vend i cili ka bërë një deklaratë sipas paragrafit 1 të këtij neni</w:t>
      </w:r>
      <w:r>
        <w:t>,</w:t>
      </w:r>
      <w:r w:rsidRPr="00CA16D9">
        <w:t xml:space="preserve"> duke e shtrirë këtë Marrëveshje në ndonjë territor për marrëdhëniet ndërkombëtare të të cilave ajo është përgjegjëse</w:t>
      </w:r>
      <w:r>
        <w:t>, mund ta deno</w:t>
      </w:r>
      <w:r w:rsidRPr="00CA16D9">
        <w:t>ncojë këtë Marrëveshje në mënyrë të veçantë në lidhje me këtë territor në përp</w:t>
      </w:r>
      <w:r>
        <w:t xml:space="preserve">uthje me parashikimet e neni 11 </w:t>
      </w:r>
      <w:r w:rsidRPr="00CA16D9">
        <w:t>të kësaj Marrëveshje</w:t>
      </w:r>
      <w:r>
        <w:t>je</w:t>
      </w:r>
      <w:r w:rsidRPr="00CA16D9">
        <w:t>.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NeniNr"/>
        <w:keepNext w:val="0"/>
      </w:pPr>
      <w:r w:rsidRPr="00CA16D9">
        <w:t>Neni 14</w:t>
      </w:r>
    </w:p>
    <w:p w:rsidR="007C6BC0" w:rsidRPr="00CA16D9" w:rsidRDefault="007C6BC0" w:rsidP="007C6BC0">
      <w:pPr>
        <w:pStyle w:val="Paragrafi"/>
      </w:pPr>
    </w:p>
    <w:p w:rsidR="007C6BC0" w:rsidRPr="00CA16D9" w:rsidRDefault="007C6BC0" w:rsidP="007C6BC0">
      <w:pPr>
        <w:pStyle w:val="Paragrafi"/>
      </w:pPr>
      <w:r w:rsidRPr="00CA16D9">
        <w:t xml:space="preserve">1. Çdo mosmarrëveshje </w:t>
      </w:r>
      <w:r>
        <w:t>ndërmjet</w:t>
      </w:r>
      <w:r w:rsidRPr="00CA16D9">
        <w:t xml:space="preserve"> dy ose më shumë  Palëve  Kontraktuese</w:t>
      </w:r>
      <w:r>
        <w:t>,</w:t>
      </w:r>
      <w:r w:rsidRPr="00CA16D9">
        <w:t xml:space="preserve"> në lidhje me interpretimin ose aplikimin e kësaj Marrëveshje</w:t>
      </w:r>
      <w:r>
        <w:t>je,</w:t>
      </w:r>
      <w:r w:rsidRPr="00CA16D9">
        <w:t xml:space="preserve"> duhet të zgjidhet sa të jetë e mundur me anë të bisedimeve ndërmjet tyre.  </w:t>
      </w:r>
    </w:p>
    <w:p w:rsidR="007C6BC0" w:rsidRPr="00CA16D9" w:rsidRDefault="007C6BC0" w:rsidP="007C6BC0">
      <w:pPr>
        <w:pStyle w:val="Paragrafi"/>
      </w:pPr>
      <w:r w:rsidRPr="00CA16D9">
        <w:t xml:space="preserve">2. Çdo mosmarrëveshje e cila nuk </w:t>
      </w:r>
      <w:r>
        <w:t xml:space="preserve">mund të </w:t>
      </w:r>
      <w:r w:rsidRPr="00CA16D9">
        <w:t>zgjidhet me anë të bisedimeve duhet të shtrohet para një gjykimi</w:t>
      </w:r>
      <w:r>
        <w:t>,</w:t>
      </w:r>
      <w:r w:rsidRPr="00CA16D9">
        <w:t xml:space="preserve"> nëse njëra nga Palët Kontraktuese në mosmarrëveshje e kërkon dhe duhet të referohet në një ose më shumë gjyqtarë të zgjedhur me marrëveshje </w:t>
      </w:r>
      <w:r>
        <w:t>ndërmjet</w:t>
      </w:r>
      <w:r w:rsidRPr="00CA16D9">
        <w:t xml:space="preserve"> Palëve në mosmarrëveshje.</w:t>
      </w:r>
    </w:p>
    <w:p w:rsidR="007C6BC0" w:rsidRPr="00CA16D9" w:rsidRDefault="007C6BC0" w:rsidP="007C6BC0">
      <w:pPr>
        <w:pStyle w:val="Paragrafi"/>
      </w:pPr>
      <w:r>
        <w:t>Nëse  brenda tre</w:t>
      </w:r>
      <w:r w:rsidRPr="00CA16D9">
        <w:t xml:space="preserve"> muajve nga data e kërkesës për gjykim Palët në mosmarrëveshje nuk kanë rënë dako</w:t>
      </w:r>
      <w:r>
        <w:t>r</w:t>
      </w:r>
      <w:r w:rsidRPr="00CA16D9">
        <w:t>d për zgjedhjen e një gjyqtari ose</w:t>
      </w:r>
      <w:r>
        <w:t xml:space="preserve"> të gjyqtarëve, njëra nga këto Palë mund të kërkojë te</w:t>
      </w:r>
      <w:r w:rsidRPr="00CA16D9">
        <w:t xml:space="preserve">  Sekretarit i Përgjithshëm i Kombeve të Bashkuara  të emërojë një arbitër  të vetëm ku të referohet mosmarrëveshja për t</w:t>
      </w:r>
      <w:r>
        <w:t>’</w:t>
      </w:r>
      <w:r w:rsidRPr="00CA16D9">
        <w:t>u zgjidhur.</w:t>
      </w:r>
    </w:p>
    <w:p w:rsidR="007C6BC0" w:rsidRPr="00CA16D9" w:rsidRDefault="007C6BC0" w:rsidP="007C6BC0">
      <w:pPr>
        <w:pStyle w:val="Paragrafi"/>
      </w:pPr>
      <w:r w:rsidRPr="00CA16D9">
        <w:t>3. Vendimi i gjyqtarit ose i gjyqtarëve të caktuar sipas paragrafit 2 të këtij ne</w:t>
      </w:r>
      <w:r>
        <w:t>ni do të jetë i zbatueshëm për P</w:t>
      </w:r>
      <w:r w:rsidRPr="00CA16D9">
        <w:t>alët në mosmarrëveshje.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NeniNr"/>
        <w:keepNext w:val="0"/>
      </w:pPr>
      <w:r w:rsidRPr="00CA16D9">
        <w:t>Neni 15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Paragrafi"/>
      </w:pPr>
      <w:r w:rsidRPr="00CA16D9">
        <w:t>1. Çdo Palë Kontraktuese, në kohën e nënshkrimit, ratifikimit ose aderimit të kësaj Marrëveshje</w:t>
      </w:r>
      <w:r>
        <w:t>je</w:t>
      </w:r>
      <w:r w:rsidRPr="00CA16D9">
        <w:t xml:space="preserve">, </w:t>
      </w:r>
      <w:r>
        <w:t xml:space="preserve">mund </w:t>
      </w:r>
      <w:r w:rsidRPr="00CA16D9">
        <w:t>të deklarojë se ajo nuk e konsideron veten të detyruar nga neni 14 i kësaj Marrëveshje</w:t>
      </w:r>
      <w:r>
        <w:t>je</w:t>
      </w:r>
      <w:r w:rsidRPr="00CA16D9">
        <w:t xml:space="preserve">.  </w:t>
      </w:r>
    </w:p>
    <w:p w:rsidR="007C6BC0" w:rsidRPr="00CA16D9" w:rsidRDefault="007C6BC0" w:rsidP="007C6BC0">
      <w:pPr>
        <w:pStyle w:val="Paragrafi"/>
      </w:pPr>
      <w:r>
        <w:t xml:space="preserve"> Palët e tjera  Kontraktuese n</w:t>
      </w:r>
      <w:r w:rsidRPr="00CA16D9">
        <w:t>uk do të jenë të detyruara nga neni 14 në lidhje me çdo  Palë Kontraktuese e cila ka paraqitur një rezervë të tillë.</w:t>
      </w:r>
    </w:p>
    <w:p w:rsidR="007C6BC0" w:rsidRPr="00CA16D9" w:rsidRDefault="007C6BC0" w:rsidP="007C6BC0">
      <w:pPr>
        <w:pStyle w:val="Paragrafi"/>
      </w:pPr>
      <w:r w:rsidRPr="00CA16D9">
        <w:t xml:space="preserve">2. Çdo Palë Kontraktuese që ka paraqitur një vërejtje sipas paragrafit 1 të këtij neni në çdo kohë </w:t>
      </w:r>
      <w:r>
        <w:t>mund ta</w:t>
      </w:r>
      <w:r w:rsidRPr="00CA16D9">
        <w:t xml:space="preserve"> tërheqë një vërejtje të tillë duke njoftuar Sekretarin e Përgjithshëm të Kombeve të Bashkuara. </w:t>
      </w:r>
    </w:p>
    <w:p w:rsidR="007C6BC0" w:rsidRPr="00CA16D9" w:rsidRDefault="007C6BC0" w:rsidP="007C6BC0">
      <w:pPr>
        <w:pStyle w:val="Paragrafi"/>
      </w:pPr>
      <w:r w:rsidRPr="00CA16D9">
        <w:t>3. Asnjë vërejtje tjetër në këtë Marrëveshje nuk do të lejohet.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NeniNr"/>
        <w:keepNext w:val="0"/>
      </w:pPr>
      <w:r w:rsidRPr="00CA16D9">
        <w:t>Neni 16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Paragrafi"/>
      </w:pPr>
      <w:r w:rsidRPr="00CA16D9">
        <w:t xml:space="preserve">1. Çdo Palë Kontraktuese mund të propozojë një ose më shumë amendamente në këtë Marrëveshje. Teksti i çdo amendamenti të </w:t>
      </w:r>
      <w:r>
        <w:t>propozuar do të transmetohet te Sekretari</w:t>
      </w:r>
      <w:r w:rsidRPr="00CA16D9">
        <w:t xml:space="preserve"> i Përgjithshëm i Ko</w:t>
      </w:r>
      <w:r>
        <w:t>mbeve të Bashkuara, i cili do ta transmetojë atë te</w:t>
      </w:r>
      <w:r w:rsidRPr="00CA16D9">
        <w:t xml:space="preserve"> të gjitha Palët Kontraktuese dhe të informojë të gjitha vendet e tjera në referim të n</w:t>
      </w:r>
      <w:r>
        <w:t>enit 9</w:t>
      </w:r>
      <w:r w:rsidRPr="00CA16D9">
        <w:t xml:space="preserve"> paragrafi 1.</w:t>
      </w:r>
    </w:p>
    <w:p w:rsidR="007C6BC0" w:rsidRPr="00CA16D9" w:rsidRDefault="007C6BC0" w:rsidP="007C6BC0">
      <w:pPr>
        <w:pStyle w:val="Paragrafi"/>
      </w:pPr>
      <w:r>
        <w:t>2. Çdo amenda</w:t>
      </w:r>
      <w:r w:rsidRPr="00CA16D9">
        <w:t>ment i propozuar në përputhje me paragrafin 1 të këtij neni do të gjykohet si i pranuar</w:t>
      </w:r>
      <w:r>
        <w:t>,</w:t>
      </w:r>
      <w:r w:rsidRPr="00CA16D9">
        <w:t xml:space="preserve"> nëse asnjë Palë Kontraktuese nuk shpreh</w:t>
      </w:r>
      <w:r>
        <w:t xml:space="preserve"> </w:t>
      </w:r>
      <w:r w:rsidRPr="00CA16D9">
        <w:t>ndonjë kundërshtim brenda një periudhe prej gjashtë muajsh</w:t>
      </w:r>
      <w:r>
        <w:t>,</w:t>
      </w:r>
      <w:r w:rsidRPr="00CA16D9">
        <w:t xml:space="preserve"> në vijim të datës së qarkullimit të amendamentit të propozuar nga Sekretari i Përgjithshëm.</w:t>
      </w:r>
    </w:p>
    <w:p w:rsidR="007C6BC0" w:rsidRPr="00CA16D9" w:rsidRDefault="007C6BC0" w:rsidP="007C6BC0">
      <w:pPr>
        <w:pStyle w:val="Paragrafi"/>
      </w:pPr>
      <w:r w:rsidRPr="00CA16D9">
        <w:t>Në këtë rast</w:t>
      </w:r>
      <w:r>
        <w:t>,</w:t>
      </w:r>
      <w:r w:rsidRPr="00CA16D9">
        <w:t xml:space="preserve"> amendamenti do të hyjë në fuqi për </w:t>
      </w:r>
      <w:r>
        <w:t>të gjitha Palët Kontraktuese tre</w:t>
      </w:r>
      <w:r w:rsidRPr="00CA16D9">
        <w:t xml:space="preserve"> muaj pas skadimit të periudhës së përmendur më sipër prej gjashtë muajsh.</w:t>
      </w:r>
    </w:p>
    <w:p w:rsidR="007C6BC0" w:rsidRPr="008C34CE" w:rsidRDefault="007C6BC0" w:rsidP="007C6BC0">
      <w:pPr>
        <w:pStyle w:val="Paragrafi"/>
      </w:pPr>
      <w:r w:rsidRPr="00CA16D9">
        <w:t xml:space="preserve">3. Nëse brenda periudhës prej gjashtë </w:t>
      </w:r>
      <w:r>
        <w:t xml:space="preserve">muajsh </w:t>
      </w:r>
      <w:r w:rsidRPr="00CA16D9">
        <w:t>referuar sipas paragrafit 2 të këtij neni</w:t>
      </w:r>
      <w:r>
        <w:t>,</w:t>
      </w:r>
      <w:r w:rsidRPr="00CA16D9">
        <w:t xml:space="preserve"> është shprehur ndonjë kundërshtim për amendamentin e propozuar, amendamenti do të gjykohet se nuk është pra</w:t>
      </w:r>
      <w:r>
        <w:t>nuar dhe nuk do të jetë efektiv</w:t>
      </w:r>
    </w:p>
    <w:p w:rsidR="007C6BC0" w:rsidRPr="00CA16D9" w:rsidRDefault="007C6BC0" w:rsidP="007C6BC0">
      <w:pPr>
        <w:pStyle w:val="NeniNr"/>
        <w:keepNext w:val="0"/>
      </w:pPr>
      <w:r w:rsidRPr="00CA16D9">
        <w:t>Neni 17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Paragrafi"/>
      </w:pPr>
      <w:r w:rsidRPr="00CA16D9">
        <w:t>Në shtesë të njoftimeve të dhëna sipa</w:t>
      </w:r>
      <w:r>
        <w:t>s nenit 16 të kësaj Marrëveshjeje</w:t>
      </w:r>
      <w:r w:rsidRPr="00CA16D9">
        <w:t xml:space="preserve"> Sekretari i Përgjithshëm i Kombeve të Bashkuara do të njof</w:t>
      </w:r>
      <w:r>
        <w:t>tojë vendet referuar në nenin 9</w:t>
      </w:r>
      <w:r w:rsidRPr="00CA16D9">
        <w:t xml:space="preserve"> paragrafi 1 dhe vendet të cilat janë bërë Palë Kontraktue</w:t>
      </w:r>
      <w:r>
        <w:t>se sipas nenit 9 paragrafi 2 të:</w:t>
      </w:r>
    </w:p>
    <w:p w:rsidR="007C6BC0" w:rsidRPr="00CA16D9" w:rsidRDefault="007C6BC0" w:rsidP="007C6BC0">
      <w:pPr>
        <w:pStyle w:val="Paragrafi"/>
      </w:pPr>
      <w:r>
        <w:t>a) nëns</w:t>
      </w:r>
      <w:r w:rsidRPr="00CA16D9">
        <w:t>hkruesve, ratifikuesve dhe aderuesve sipas nenit 9;</w:t>
      </w:r>
    </w:p>
    <w:p w:rsidR="007C6BC0" w:rsidRPr="00CA16D9" w:rsidRDefault="007C6BC0" w:rsidP="007C6BC0">
      <w:pPr>
        <w:pStyle w:val="Paragrafi"/>
      </w:pPr>
      <w:r w:rsidRPr="00CA16D9">
        <w:t>b) datës së hyrjes në fuqi të kësaj Marrëveshje</w:t>
      </w:r>
      <w:r>
        <w:t>je</w:t>
      </w:r>
      <w:r w:rsidRPr="00CA16D9">
        <w:t xml:space="preserve"> në përputhje me nenin 10;</w:t>
      </w:r>
    </w:p>
    <w:p w:rsidR="007C6BC0" w:rsidRPr="00CA16D9" w:rsidRDefault="007C6BC0" w:rsidP="007C6BC0">
      <w:pPr>
        <w:pStyle w:val="Paragrafi"/>
      </w:pPr>
      <w:r w:rsidRPr="00CA16D9">
        <w:t>c) denoncimeve sipas nenit 11;</w:t>
      </w:r>
    </w:p>
    <w:p w:rsidR="007C6BC0" w:rsidRPr="00CA16D9" w:rsidRDefault="007C6BC0" w:rsidP="007C6BC0">
      <w:pPr>
        <w:pStyle w:val="Paragrafi"/>
      </w:pPr>
      <w:r>
        <w:t>d) përfundimit të kësaj M</w:t>
      </w:r>
      <w:r w:rsidRPr="00CA16D9">
        <w:t>arrëveshje</w:t>
      </w:r>
      <w:r>
        <w:t>je</w:t>
      </w:r>
      <w:r w:rsidRPr="00CA16D9">
        <w:t xml:space="preserve"> në përputhje me nenin 12;</w:t>
      </w:r>
    </w:p>
    <w:p w:rsidR="007C6BC0" w:rsidRPr="00CA16D9" w:rsidRDefault="007C6BC0" w:rsidP="007C6BC0">
      <w:pPr>
        <w:pStyle w:val="Paragrafi"/>
      </w:pPr>
      <w:r>
        <w:t>e) njoftimit të</w:t>
      </w:r>
      <w:r w:rsidRPr="00CA16D9">
        <w:t xml:space="preserve"> marrë në përputhje me nenin 13;</w:t>
      </w:r>
    </w:p>
    <w:p w:rsidR="007C6BC0" w:rsidRPr="00CA16D9" w:rsidRDefault="007C6BC0" w:rsidP="007C6BC0">
      <w:pPr>
        <w:pStyle w:val="Paragrafi"/>
      </w:pPr>
      <w:r>
        <w:t>f) deklarimit të njoftimit të</w:t>
      </w:r>
      <w:r w:rsidRPr="00CA16D9">
        <w:t xml:space="preserve"> marra në përputhj</w:t>
      </w:r>
      <w:r>
        <w:t>e me nenin 15</w:t>
      </w:r>
      <w:r w:rsidRPr="00CA16D9">
        <w:t xml:space="preserve"> paragrafi 1 dhe 2;</w:t>
      </w:r>
    </w:p>
    <w:p w:rsidR="007C6BC0" w:rsidRPr="00CA16D9" w:rsidRDefault="007C6BC0" w:rsidP="007C6BC0">
      <w:pPr>
        <w:pStyle w:val="Paragrafi"/>
      </w:pPr>
      <w:r w:rsidRPr="00CA16D9">
        <w:t>g) hy</w:t>
      </w:r>
      <w:r>
        <w:t>rjes në fuqi të çdo amendamenti</w:t>
      </w:r>
      <w:r w:rsidRPr="00CA16D9">
        <w:t xml:space="preserve"> ose kundërshtimin e shprehur për draftin e ndonjë amendamenti, në përputhje me nenin 16.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NeniNr"/>
        <w:keepNext w:val="0"/>
      </w:pPr>
      <w:r w:rsidRPr="00CA16D9">
        <w:t>Neni 18</w:t>
      </w:r>
    </w:p>
    <w:p w:rsidR="007C6BC0" w:rsidRPr="005F029E" w:rsidRDefault="007C6BC0" w:rsidP="007C6BC0">
      <w:pPr>
        <w:pStyle w:val="Paragrafi"/>
        <w:rPr>
          <w:sz w:val="18"/>
        </w:rPr>
      </w:pPr>
    </w:p>
    <w:p w:rsidR="007C6BC0" w:rsidRPr="00CA16D9" w:rsidRDefault="007C6BC0" w:rsidP="007C6BC0">
      <w:pPr>
        <w:pStyle w:val="Paragrafi"/>
      </w:pPr>
      <w:r w:rsidRPr="00CA16D9">
        <w:t>Pas 28 shkurtit 1958, origjinali i kësaj Marrëveshje</w:t>
      </w:r>
      <w:r>
        <w:t>je do të depozitohet te</w:t>
      </w:r>
      <w:r w:rsidRPr="00CA16D9">
        <w:t xml:space="preserve"> Sekretari i Përgjithshëm i Kombeve të Bashkuara, i c</w:t>
      </w:r>
      <w:r>
        <w:t>ili do të transmetojë kopjet e c</w:t>
      </w:r>
      <w:r w:rsidRPr="00CA16D9">
        <w:t>ertifikuara me origjinalin në ç</w:t>
      </w:r>
      <w:r>
        <w:t>do vend të përmendur në nenin 9</w:t>
      </w:r>
      <w:r w:rsidRPr="00CA16D9">
        <w:t xml:space="preserve"> paragrafi 1 dhe 2.</w:t>
      </w:r>
    </w:p>
    <w:p w:rsidR="007C6BC0" w:rsidRPr="00CA16D9" w:rsidRDefault="007C6BC0" w:rsidP="007C6BC0">
      <w:pPr>
        <w:pStyle w:val="Paragrafi"/>
      </w:pPr>
      <w:r>
        <w:t>Në dëshminë e</w:t>
      </w:r>
      <w:r w:rsidRPr="00CA16D9">
        <w:t xml:space="preserve"> të nënshkruarit të autorizuar plotësisht</w:t>
      </w:r>
      <w:r>
        <w:t>, kanë nënshkruar këtë M</w:t>
      </w:r>
      <w:r w:rsidRPr="00CA16D9">
        <w:t>arrëveshje.</w:t>
      </w:r>
    </w:p>
    <w:p w:rsidR="007C6BC0" w:rsidRDefault="007C6BC0" w:rsidP="007C6BC0">
      <w:pPr>
        <w:pStyle w:val="Paragrafi"/>
      </w:pPr>
      <w:r>
        <w:t>Bërë në G</w:t>
      </w:r>
      <w:r w:rsidRPr="00CA16D9">
        <w:t xml:space="preserve">jenevë, </w:t>
      </w:r>
      <w:r>
        <w:t xml:space="preserve">më 13 dhjetor 1957 </w:t>
      </w:r>
      <w:r w:rsidRPr="00CA16D9">
        <w:t xml:space="preserve">në një kopje të vetme në gjuhën angleze dhe </w:t>
      </w:r>
      <w:r>
        <w:t xml:space="preserve">atë </w:t>
      </w:r>
      <w:r w:rsidRPr="00CA16D9">
        <w:t>franceze, çdo tekst është i barabartë në mënyrë autentike.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91A7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C6BC0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3FC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1506C3-8824-4811-8104-DA5EC797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