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0FD" w:rsidRPr="00D55B00" w:rsidRDefault="00D470FD" w:rsidP="00D470FD">
      <w:pPr>
        <w:pStyle w:val="Akti"/>
        <w:keepNext w:val="0"/>
      </w:pPr>
      <w:bookmarkStart w:id="0" w:name="_GoBack"/>
      <w:bookmarkEnd w:id="0"/>
      <w:r w:rsidRPr="00D55B00">
        <w:t>LIGJ</w:t>
      </w:r>
    </w:p>
    <w:p w:rsidR="00D470FD" w:rsidRPr="00D55B00" w:rsidRDefault="00D470FD" w:rsidP="00D470FD">
      <w:pPr>
        <w:pStyle w:val="NumriData"/>
        <w:keepNext w:val="0"/>
        <w:rPr>
          <w:szCs w:val="22"/>
        </w:rPr>
      </w:pPr>
      <w:r w:rsidRPr="00D55B00">
        <w:rPr>
          <w:szCs w:val="22"/>
        </w:rPr>
        <w:t>Nr.9260, datë 15.7.2004</w:t>
      </w:r>
    </w:p>
    <w:p w:rsidR="00D470FD" w:rsidRPr="00D55B00" w:rsidRDefault="00D470FD" w:rsidP="00D470FD">
      <w:pPr>
        <w:pStyle w:val="Paragrafi"/>
        <w:rPr>
          <w:szCs w:val="22"/>
        </w:rPr>
      </w:pPr>
    </w:p>
    <w:p w:rsidR="00D470FD" w:rsidRPr="00D55B00" w:rsidRDefault="00D470FD" w:rsidP="00D470FD">
      <w:pPr>
        <w:pStyle w:val="Titulli"/>
        <w:keepNext w:val="0"/>
      </w:pPr>
      <w:r w:rsidRPr="00D55B00">
        <w:t>PËR DISA SHTESA E NDRYSHIME NË LIGJIN NR.7748, DATË</w:t>
      </w:r>
      <w:r>
        <w:t xml:space="preserve"> 29.7.1993 "PËR STATUSIN E ISH-TË DËNUARVE DHE TË Pë</w:t>
      </w:r>
      <w:r w:rsidRPr="00D55B00">
        <w:t>RNDJEKURVE POLITIKË NGA SISTEMI KOMUNIST", I NDRYSHUAR</w:t>
      </w:r>
    </w:p>
    <w:p w:rsidR="00D470FD" w:rsidRPr="00D55B00" w:rsidRDefault="00D470FD" w:rsidP="00D470FD">
      <w:pPr>
        <w:pStyle w:val="Paragrafi"/>
        <w:rPr>
          <w:szCs w:val="22"/>
        </w:rPr>
      </w:pPr>
    </w:p>
    <w:p w:rsidR="00D470FD" w:rsidRPr="00D55B00" w:rsidRDefault="00D470FD" w:rsidP="00D470FD">
      <w:pPr>
        <w:pStyle w:val="Paragrafi"/>
        <w:rPr>
          <w:szCs w:val="22"/>
        </w:rPr>
      </w:pPr>
      <w:r w:rsidRPr="00D55B00">
        <w:rPr>
          <w:szCs w:val="22"/>
        </w:rPr>
        <w:t xml:space="preserve">Në mbështetje të neneve 78 dhe 83 pika 1 të Kushtetutës, me propozimin e një grupi deputetësh, </w:t>
      </w:r>
    </w:p>
    <w:p w:rsidR="00D470FD" w:rsidRPr="00D55B00" w:rsidRDefault="00D470FD" w:rsidP="00D470FD">
      <w:pPr>
        <w:pStyle w:val="Paragrafi"/>
        <w:rPr>
          <w:szCs w:val="22"/>
        </w:rPr>
      </w:pPr>
    </w:p>
    <w:p w:rsidR="00D470FD" w:rsidRPr="00D55B00" w:rsidRDefault="00D470FD" w:rsidP="00D470FD">
      <w:pPr>
        <w:pStyle w:val="Institucioni"/>
        <w:keepNext w:val="0"/>
      </w:pPr>
      <w:r w:rsidRPr="00D55B00">
        <w:t xml:space="preserve">KUVENDI </w:t>
      </w:r>
    </w:p>
    <w:p w:rsidR="00D470FD" w:rsidRPr="00D55B00" w:rsidRDefault="00D470FD" w:rsidP="00D470FD">
      <w:pPr>
        <w:pStyle w:val="Institucioni"/>
        <w:keepNext w:val="0"/>
      </w:pPr>
      <w:r w:rsidRPr="00D55B00">
        <w:t>I REPUBLIKËS SË SHQIPËRISË</w:t>
      </w:r>
    </w:p>
    <w:p w:rsidR="00D470FD" w:rsidRPr="00D55B00" w:rsidRDefault="00D470FD" w:rsidP="00D470FD">
      <w:pPr>
        <w:pStyle w:val="Paragrafi"/>
        <w:rPr>
          <w:szCs w:val="22"/>
        </w:rPr>
      </w:pPr>
    </w:p>
    <w:p w:rsidR="00D470FD" w:rsidRPr="00D55B00" w:rsidRDefault="00D470FD" w:rsidP="00D470FD">
      <w:pPr>
        <w:pStyle w:val="VENDOSI"/>
        <w:keepNext w:val="0"/>
      </w:pPr>
      <w:r w:rsidRPr="00D55B00">
        <w:t>VENDOSI:</w:t>
      </w:r>
    </w:p>
    <w:p w:rsidR="00D470FD" w:rsidRPr="00D55B00" w:rsidRDefault="00D470FD" w:rsidP="00D470FD">
      <w:pPr>
        <w:pStyle w:val="Paragrafi"/>
        <w:rPr>
          <w:szCs w:val="22"/>
        </w:rPr>
      </w:pPr>
    </w:p>
    <w:p w:rsidR="00D470FD" w:rsidRPr="00D55B00" w:rsidRDefault="00D470FD" w:rsidP="00D470FD">
      <w:pPr>
        <w:pStyle w:val="Paragrafi"/>
        <w:rPr>
          <w:szCs w:val="22"/>
        </w:rPr>
      </w:pPr>
      <w:r w:rsidRPr="00D55B00">
        <w:rPr>
          <w:szCs w:val="22"/>
        </w:rPr>
        <w:t>Në ligjin nr.7748, datë 29.7.1993 "Për statusin e ish të dënuarve dhe të përndjekurve politikë nga sistemi komunist", i ndryshuar, bëhen këto shtesa dhe ndryshime:</w:t>
      </w:r>
    </w:p>
    <w:p w:rsidR="00D470FD" w:rsidRPr="00D55B00" w:rsidRDefault="00D470FD" w:rsidP="00D470FD">
      <w:pPr>
        <w:pStyle w:val="Paragrafi"/>
        <w:rPr>
          <w:szCs w:val="22"/>
        </w:rPr>
      </w:pPr>
    </w:p>
    <w:p w:rsidR="00D470FD" w:rsidRPr="00D55B00" w:rsidRDefault="00D470FD" w:rsidP="00D470FD">
      <w:pPr>
        <w:pStyle w:val="NeniNr"/>
        <w:keepNext w:val="0"/>
        <w:rPr>
          <w:szCs w:val="22"/>
        </w:rPr>
      </w:pPr>
      <w:r w:rsidRPr="00D55B00">
        <w:rPr>
          <w:szCs w:val="22"/>
        </w:rPr>
        <w:t>Neni 1</w:t>
      </w:r>
    </w:p>
    <w:p w:rsidR="00D470FD" w:rsidRPr="00D55B00" w:rsidRDefault="00D470FD" w:rsidP="00D470FD">
      <w:pPr>
        <w:pStyle w:val="Paragrafi"/>
        <w:rPr>
          <w:szCs w:val="22"/>
        </w:rPr>
      </w:pPr>
    </w:p>
    <w:p w:rsidR="00D470FD" w:rsidRPr="00D55B00" w:rsidRDefault="00D470FD" w:rsidP="00D470FD">
      <w:pPr>
        <w:pStyle w:val="Paragrafi"/>
        <w:rPr>
          <w:szCs w:val="22"/>
        </w:rPr>
      </w:pPr>
      <w:r w:rsidRPr="00D55B00">
        <w:rPr>
          <w:szCs w:val="22"/>
        </w:rPr>
        <w:t>Neni 9 ndryshohet si më poshtë:</w:t>
      </w:r>
    </w:p>
    <w:p w:rsidR="00D470FD" w:rsidRDefault="00D470FD" w:rsidP="00D470FD">
      <w:pPr>
        <w:pStyle w:val="Paragrafi"/>
        <w:rPr>
          <w:szCs w:val="22"/>
        </w:rPr>
      </w:pPr>
      <w:r w:rsidRPr="00D55B00">
        <w:rPr>
          <w:szCs w:val="22"/>
        </w:rPr>
        <w:t>"Kompensimi financiar i ish të dënuarve dhe të përndjekurve politikë, që kanë marrë pafajësinë sipas ligjit nr.7514, datë 30.9.1991 "Për pafajësinë, amnistinë e ish të dënuarve dhe të përndjekurve politikë", i ndryshuar dhe që gëzojnë statusin sipas ligjit nr.7748, datë 29.7.1993 "Për statusin e ish të dënuarve dhe të përndjekurve politikë nga sistemi komunist", i ndryshuar, ish të dënuarit politikë që përfshihen në kategorinë "A", të cilët kanë humbur jetën apo janë të sëmurë psikikë për shkak të përndjekjes ose trashëgimtarit të radhës së parë sipas Kodit Civil, si dhe ish të dënuarit politikë që përfshihen në kategorinë "B" të parashikuar në nenin 3 të ligjit nr 7748, datë datë 29.7.1993 "Për statusin e ish të dënuarve dhe të përndjekurve politikë nga sistemi komunist", i ndryshuar, përfitojnë të drejtën e kompensimit financiar në mënyrë të përshkallëzuar mbi bazën e vuajtjes së dënimit si më poshtë:</w:t>
      </w:r>
    </w:p>
    <w:p w:rsidR="00D470FD" w:rsidRPr="00D55B00" w:rsidRDefault="00D470FD" w:rsidP="00D470FD">
      <w:pPr>
        <w:pStyle w:val="Paragrafi"/>
        <w:ind w:firstLine="0"/>
        <w:rPr>
          <w:szCs w:val="22"/>
        </w:rPr>
      </w:pPr>
    </w:p>
    <w:tbl>
      <w:tblPr>
        <w:tblStyle w:val="TitulliChar"/>
        <w:tblW w:w="0" w:type="auto"/>
        <w:jc w:val="center"/>
        <w:tblLook w:val="01E0" w:firstRow="1" w:lastRow="1" w:firstColumn="1" w:lastColumn="1" w:noHBand="0" w:noVBand="0"/>
      </w:tblPr>
      <w:tblGrid>
        <w:gridCol w:w="4066"/>
        <w:gridCol w:w="3056"/>
      </w:tblGrid>
      <w:tr w:rsidR="00D470FD" w:rsidRPr="00D55B00">
        <w:trPr>
          <w:jc w:val="center"/>
        </w:trPr>
        <w:tc>
          <w:tcPr>
            <w:tcW w:w="4066" w:type="dxa"/>
          </w:tcPr>
          <w:p w:rsidR="00D470FD" w:rsidRPr="00D55B00" w:rsidRDefault="00D470FD" w:rsidP="00D470FD">
            <w:pPr>
              <w:pStyle w:val="Tabele"/>
              <w:widowControl w:val="0"/>
              <w:rPr>
                <w:szCs w:val="22"/>
              </w:rPr>
            </w:pPr>
            <w:r w:rsidRPr="00D55B00">
              <w:rPr>
                <w:szCs w:val="22"/>
              </w:rPr>
              <w:t>Periudha e vuajtjes së dënimit</w:t>
            </w:r>
          </w:p>
        </w:tc>
        <w:tc>
          <w:tcPr>
            <w:tcW w:w="3056" w:type="dxa"/>
          </w:tcPr>
          <w:p w:rsidR="00D470FD" w:rsidRPr="00D55B00" w:rsidRDefault="00D470FD" w:rsidP="00D470FD">
            <w:pPr>
              <w:pStyle w:val="Tabele"/>
              <w:widowControl w:val="0"/>
              <w:rPr>
                <w:szCs w:val="22"/>
              </w:rPr>
            </w:pPr>
            <w:r w:rsidRPr="00D55B00">
              <w:rPr>
                <w:szCs w:val="22"/>
              </w:rPr>
              <w:t>Pagesa mujore në lekë</w:t>
            </w:r>
          </w:p>
        </w:tc>
      </w:tr>
      <w:tr w:rsidR="00D470FD" w:rsidRPr="00D55B00">
        <w:trPr>
          <w:jc w:val="center"/>
        </w:trPr>
        <w:tc>
          <w:tcPr>
            <w:tcW w:w="4066" w:type="dxa"/>
          </w:tcPr>
          <w:p w:rsidR="00D470FD" w:rsidRPr="00D55B00" w:rsidRDefault="00D470FD" w:rsidP="00D470FD">
            <w:pPr>
              <w:pStyle w:val="Tabele"/>
              <w:widowControl w:val="0"/>
              <w:rPr>
                <w:szCs w:val="22"/>
              </w:rPr>
            </w:pPr>
            <w:r w:rsidRPr="00D55B00">
              <w:rPr>
                <w:szCs w:val="22"/>
              </w:rPr>
              <w:t>1 deri në 5 vjet</w:t>
            </w:r>
          </w:p>
        </w:tc>
        <w:tc>
          <w:tcPr>
            <w:tcW w:w="3056" w:type="dxa"/>
          </w:tcPr>
          <w:p w:rsidR="00D470FD" w:rsidRPr="00D55B00" w:rsidRDefault="00D470FD" w:rsidP="00D470FD">
            <w:pPr>
              <w:pStyle w:val="Tabele"/>
              <w:widowControl w:val="0"/>
              <w:jc w:val="center"/>
              <w:rPr>
                <w:szCs w:val="22"/>
              </w:rPr>
            </w:pPr>
            <w:r w:rsidRPr="00D55B00">
              <w:rPr>
                <w:szCs w:val="22"/>
              </w:rPr>
              <w:t>1 500</w:t>
            </w:r>
          </w:p>
        </w:tc>
      </w:tr>
      <w:tr w:rsidR="00D470FD" w:rsidRPr="00D55B00">
        <w:trPr>
          <w:jc w:val="center"/>
        </w:trPr>
        <w:tc>
          <w:tcPr>
            <w:tcW w:w="4066" w:type="dxa"/>
          </w:tcPr>
          <w:p w:rsidR="00D470FD" w:rsidRPr="00D55B00" w:rsidRDefault="00D470FD" w:rsidP="00D470FD">
            <w:pPr>
              <w:pStyle w:val="Tabele"/>
              <w:widowControl w:val="0"/>
              <w:rPr>
                <w:szCs w:val="22"/>
              </w:rPr>
            </w:pPr>
            <w:r w:rsidRPr="00D55B00">
              <w:rPr>
                <w:szCs w:val="22"/>
              </w:rPr>
              <w:t>5 deri në 10 vjet</w:t>
            </w:r>
          </w:p>
        </w:tc>
        <w:tc>
          <w:tcPr>
            <w:tcW w:w="3056" w:type="dxa"/>
          </w:tcPr>
          <w:p w:rsidR="00D470FD" w:rsidRPr="00D55B00" w:rsidRDefault="00D470FD" w:rsidP="00D470FD">
            <w:pPr>
              <w:pStyle w:val="Tabele"/>
              <w:widowControl w:val="0"/>
              <w:jc w:val="center"/>
              <w:rPr>
                <w:szCs w:val="22"/>
              </w:rPr>
            </w:pPr>
            <w:r w:rsidRPr="00D55B00">
              <w:rPr>
                <w:szCs w:val="22"/>
              </w:rPr>
              <w:t>2 000</w:t>
            </w:r>
          </w:p>
        </w:tc>
      </w:tr>
      <w:tr w:rsidR="00D470FD" w:rsidRPr="00D55B00">
        <w:trPr>
          <w:jc w:val="center"/>
        </w:trPr>
        <w:tc>
          <w:tcPr>
            <w:tcW w:w="4066" w:type="dxa"/>
          </w:tcPr>
          <w:p w:rsidR="00D470FD" w:rsidRPr="00D55B00" w:rsidRDefault="00D470FD" w:rsidP="00D470FD">
            <w:pPr>
              <w:pStyle w:val="Tabele"/>
              <w:widowControl w:val="0"/>
              <w:rPr>
                <w:szCs w:val="22"/>
              </w:rPr>
            </w:pPr>
            <w:r w:rsidRPr="00D55B00">
              <w:rPr>
                <w:szCs w:val="22"/>
              </w:rPr>
              <w:t>10 deri në 15 vjet</w:t>
            </w:r>
          </w:p>
        </w:tc>
        <w:tc>
          <w:tcPr>
            <w:tcW w:w="3056" w:type="dxa"/>
          </w:tcPr>
          <w:p w:rsidR="00D470FD" w:rsidRPr="00D55B00" w:rsidRDefault="00D470FD" w:rsidP="00D470FD">
            <w:pPr>
              <w:pStyle w:val="Tabele"/>
              <w:widowControl w:val="0"/>
              <w:jc w:val="center"/>
              <w:rPr>
                <w:szCs w:val="22"/>
              </w:rPr>
            </w:pPr>
            <w:r w:rsidRPr="00D55B00">
              <w:rPr>
                <w:szCs w:val="22"/>
              </w:rPr>
              <w:t>2 500</w:t>
            </w:r>
          </w:p>
        </w:tc>
      </w:tr>
      <w:tr w:rsidR="00D470FD" w:rsidRPr="00D55B00">
        <w:trPr>
          <w:jc w:val="center"/>
        </w:trPr>
        <w:tc>
          <w:tcPr>
            <w:tcW w:w="4066" w:type="dxa"/>
          </w:tcPr>
          <w:p w:rsidR="00D470FD" w:rsidRPr="00D55B00" w:rsidRDefault="00D470FD" w:rsidP="00D470FD">
            <w:pPr>
              <w:pStyle w:val="Tabele"/>
              <w:widowControl w:val="0"/>
              <w:rPr>
                <w:szCs w:val="22"/>
              </w:rPr>
            </w:pPr>
            <w:r w:rsidRPr="00D55B00">
              <w:rPr>
                <w:szCs w:val="22"/>
              </w:rPr>
              <w:t>15 deri në 20 vjet</w:t>
            </w:r>
          </w:p>
        </w:tc>
        <w:tc>
          <w:tcPr>
            <w:tcW w:w="3056" w:type="dxa"/>
          </w:tcPr>
          <w:p w:rsidR="00D470FD" w:rsidRPr="00D55B00" w:rsidRDefault="00D470FD" w:rsidP="00D470FD">
            <w:pPr>
              <w:pStyle w:val="Tabele"/>
              <w:widowControl w:val="0"/>
              <w:jc w:val="center"/>
              <w:rPr>
                <w:szCs w:val="22"/>
              </w:rPr>
            </w:pPr>
            <w:r w:rsidRPr="00D55B00">
              <w:rPr>
                <w:szCs w:val="22"/>
              </w:rPr>
              <w:t>3 000</w:t>
            </w:r>
          </w:p>
        </w:tc>
      </w:tr>
      <w:tr w:rsidR="00D470FD" w:rsidRPr="00D55B00">
        <w:trPr>
          <w:jc w:val="center"/>
        </w:trPr>
        <w:tc>
          <w:tcPr>
            <w:tcW w:w="4066" w:type="dxa"/>
          </w:tcPr>
          <w:p w:rsidR="00D470FD" w:rsidRPr="00D55B00" w:rsidRDefault="00D470FD" w:rsidP="00D470FD">
            <w:pPr>
              <w:pStyle w:val="Tabele"/>
              <w:widowControl w:val="0"/>
              <w:rPr>
                <w:szCs w:val="22"/>
              </w:rPr>
            </w:pPr>
            <w:r w:rsidRPr="00D55B00">
              <w:rPr>
                <w:szCs w:val="22"/>
              </w:rPr>
              <w:t>20 deri në 30 vjet</w:t>
            </w:r>
          </w:p>
        </w:tc>
        <w:tc>
          <w:tcPr>
            <w:tcW w:w="3056" w:type="dxa"/>
          </w:tcPr>
          <w:p w:rsidR="00D470FD" w:rsidRPr="00D55B00" w:rsidRDefault="00D470FD" w:rsidP="00D470FD">
            <w:pPr>
              <w:pStyle w:val="Tabele"/>
              <w:widowControl w:val="0"/>
              <w:jc w:val="center"/>
              <w:rPr>
                <w:szCs w:val="22"/>
              </w:rPr>
            </w:pPr>
            <w:r w:rsidRPr="00D55B00">
              <w:rPr>
                <w:szCs w:val="22"/>
              </w:rPr>
              <w:t>3 500</w:t>
            </w:r>
          </w:p>
        </w:tc>
      </w:tr>
      <w:tr w:rsidR="00D470FD" w:rsidRPr="00D55B00">
        <w:trPr>
          <w:jc w:val="center"/>
        </w:trPr>
        <w:tc>
          <w:tcPr>
            <w:tcW w:w="4066" w:type="dxa"/>
          </w:tcPr>
          <w:p w:rsidR="00D470FD" w:rsidRPr="00D55B00" w:rsidRDefault="00D470FD" w:rsidP="00D470FD">
            <w:pPr>
              <w:pStyle w:val="Tabele"/>
              <w:widowControl w:val="0"/>
              <w:rPr>
                <w:szCs w:val="22"/>
              </w:rPr>
            </w:pPr>
            <w:r w:rsidRPr="00D55B00">
              <w:rPr>
                <w:szCs w:val="22"/>
              </w:rPr>
              <w:t>Të pushkatuar</w:t>
            </w:r>
          </w:p>
        </w:tc>
        <w:tc>
          <w:tcPr>
            <w:tcW w:w="3056" w:type="dxa"/>
          </w:tcPr>
          <w:p w:rsidR="00D470FD" w:rsidRPr="00D55B00" w:rsidRDefault="00D470FD" w:rsidP="00D470FD">
            <w:pPr>
              <w:pStyle w:val="Tabele"/>
              <w:widowControl w:val="0"/>
              <w:jc w:val="center"/>
              <w:rPr>
                <w:szCs w:val="22"/>
              </w:rPr>
            </w:pPr>
            <w:r w:rsidRPr="00D55B00">
              <w:rPr>
                <w:szCs w:val="22"/>
              </w:rPr>
              <w:t>5 000</w:t>
            </w:r>
          </w:p>
        </w:tc>
      </w:tr>
    </w:tbl>
    <w:p w:rsidR="00D470FD" w:rsidRPr="00D55B00" w:rsidRDefault="00D470FD" w:rsidP="00D470FD">
      <w:pPr>
        <w:pStyle w:val="Paragrafi"/>
        <w:rPr>
          <w:szCs w:val="22"/>
        </w:rPr>
      </w:pPr>
    </w:p>
    <w:p w:rsidR="00D470FD" w:rsidRPr="00D55B00" w:rsidRDefault="00D470FD" w:rsidP="00D470FD">
      <w:pPr>
        <w:pStyle w:val="NeniNr"/>
        <w:keepNext w:val="0"/>
        <w:rPr>
          <w:szCs w:val="22"/>
        </w:rPr>
      </w:pPr>
      <w:r w:rsidRPr="00D55B00">
        <w:rPr>
          <w:szCs w:val="22"/>
        </w:rPr>
        <w:t>Neni 2</w:t>
      </w:r>
    </w:p>
    <w:p w:rsidR="00D470FD" w:rsidRPr="00D55B00" w:rsidRDefault="00D470FD" w:rsidP="00D470FD">
      <w:pPr>
        <w:pStyle w:val="Paragrafi"/>
        <w:rPr>
          <w:szCs w:val="22"/>
        </w:rPr>
      </w:pPr>
    </w:p>
    <w:p w:rsidR="00D470FD" w:rsidRPr="00D55B00" w:rsidRDefault="00D470FD" w:rsidP="00D470FD">
      <w:pPr>
        <w:pStyle w:val="Paragrafi"/>
        <w:rPr>
          <w:szCs w:val="22"/>
        </w:rPr>
      </w:pPr>
      <w:r w:rsidRPr="00D55B00">
        <w:rPr>
          <w:szCs w:val="22"/>
        </w:rPr>
        <w:t>Pas nenit 21 shtohet neni 21/1 me këtë përmbajtje:</w:t>
      </w:r>
    </w:p>
    <w:p w:rsidR="00D470FD" w:rsidRPr="00D55B00" w:rsidRDefault="00D470FD" w:rsidP="00D470FD">
      <w:pPr>
        <w:pStyle w:val="Paragrafi"/>
        <w:rPr>
          <w:szCs w:val="22"/>
        </w:rPr>
      </w:pPr>
    </w:p>
    <w:p w:rsidR="00D470FD" w:rsidRPr="00D55B00" w:rsidRDefault="00D470FD" w:rsidP="00D470FD">
      <w:pPr>
        <w:pStyle w:val="NeniNr"/>
        <w:keepNext w:val="0"/>
        <w:rPr>
          <w:szCs w:val="22"/>
        </w:rPr>
      </w:pPr>
      <w:r w:rsidRPr="00D55B00">
        <w:rPr>
          <w:szCs w:val="22"/>
        </w:rPr>
        <w:t>“Neni 21/1</w:t>
      </w:r>
    </w:p>
    <w:p w:rsidR="00D470FD" w:rsidRPr="00D55B00" w:rsidRDefault="00D470FD" w:rsidP="00D470FD">
      <w:pPr>
        <w:pStyle w:val="Paragrafi"/>
        <w:rPr>
          <w:szCs w:val="22"/>
        </w:rPr>
      </w:pPr>
    </w:p>
    <w:p w:rsidR="00D470FD" w:rsidRPr="00D55B00" w:rsidRDefault="00D470FD" w:rsidP="00D470FD">
      <w:pPr>
        <w:pStyle w:val="Paragrafi"/>
        <w:rPr>
          <w:szCs w:val="22"/>
        </w:rPr>
      </w:pPr>
      <w:r w:rsidRPr="00D55B00">
        <w:rPr>
          <w:szCs w:val="22"/>
        </w:rPr>
        <w:t>Për zbatimin e këtij ligji ngrihet një komision i përbërë nga përfaqësues të Ministrisë së Drejtësisë, Ministrisë së Financave, Ministrisë së Punës dhe Çështjeve Sociale dhe Komitetit të Integrimit të të Përndjekurve Politikë.</w:t>
      </w:r>
    </w:p>
    <w:p w:rsidR="00D470FD" w:rsidRPr="00D55B00" w:rsidRDefault="00D470FD" w:rsidP="00D470FD">
      <w:pPr>
        <w:pStyle w:val="Paragrafi"/>
        <w:rPr>
          <w:szCs w:val="22"/>
        </w:rPr>
      </w:pPr>
      <w:r w:rsidRPr="00D55B00">
        <w:rPr>
          <w:szCs w:val="22"/>
        </w:rPr>
        <w:t>Organizimi dhe funksionimi i këtij komisioni përcaktohen me vendim të Këshillit të Ministrave.”.</w:t>
      </w:r>
    </w:p>
    <w:p w:rsidR="00D470FD" w:rsidRPr="00D55B00" w:rsidRDefault="00D470FD" w:rsidP="00D470FD">
      <w:pPr>
        <w:pStyle w:val="NeniNr"/>
        <w:keepNext w:val="0"/>
        <w:rPr>
          <w:szCs w:val="22"/>
        </w:rPr>
      </w:pPr>
      <w:r w:rsidRPr="00D55B00">
        <w:rPr>
          <w:szCs w:val="22"/>
        </w:rPr>
        <w:t>Neni 3</w:t>
      </w:r>
    </w:p>
    <w:p w:rsidR="00D470FD" w:rsidRPr="00D55B00" w:rsidRDefault="00D470FD" w:rsidP="00D470FD">
      <w:pPr>
        <w:pStyle w:val="Paragrafi"/>
        <w:rPr>
          <w:szCs w:val="22"/>
        </w:rPr>
      </w:pPr>
    </w:p>
    <w:p w:rsidR="00D470FD" w:rsidRPr="00D55B00" w:rsidRDefault="00D470FD" w:rsidP="00D470FD">
      <w:pPr>
        <w:pStyle w:val="Paragrafi"/>
        <w:rPr>
          <w:szCs w:val="22"/>
        </w:rPr>
      </w:pPr>
      <w:r w:rsidRPr="00D55B00">
        <w:rPr>
          <w:szCs w:val="22"/>
        </w:rPr>
        <w:t>Pas nenit 21/1 shtohet neni 21/2 me këtë përmbajtje:</w:t>
      </w:r>
    </w:p>
    <w:p w:rsidR="00D470FD" w:rsidRPr="00AE62AD" w:rsidRDefault="00D470FD" w:rsidP="00D470FD">
      <w:pPr>
        <w:pStyle w:val="Paragrafi"/>
        <w:rPr>
          <w:sz w:val="18"/>
          <w:szCs w:val="22"/>
        </w:rPr>
      </w:pPr>
    </w:p>
    <w:p w:rsidR="00D470FD" w:rsidRPr="00D55B00" w:rsidRDefault="00D470FD" w:rsidP="00D470FD">
      <w:pPr>
        <w:pStyle w:val="NeniNr"/>
        <w:keepNext w:val="0"/>
        <w:rPr>
          <w:szCs w:val="22"/>
        </w:rPr>
      </w:pPr>
      <w:r w:rsidRPr="00D55B00">
        <w:rPr>
          <w:szCs w:val="22"/>
        </w:rPr>
        <w:lastRenderedPageBreak/>
        <w:t>“Neni 21/2</w:t>
      </w:r>
    </w:p>
    <w:p w:rsidR="00D470FD" w:rsidRPr="00AE62AD" w:rsidRDefault="00D470FD" w:rsidP="00D470FD">
      <w:pPr>
        <w:pStyle w:val="Paragrafi"/>
        <w:rPr>
          <w:sz w:val="18"/>
          <w:szCs w:val="22"/>
        </w:rPr>
      </w:pPr>
    </w:p>
    <w:p w:rsidR="00D470FD" w:rsidRPr="00D55B00" w:rsidRDefault="00D470FD" w:rsidP="00D470FD">
      <w:pPr>
        <w:pStyle w:val="Paragrafi"/>
        <w:rPr>
          <w:szCs w:val="22"/>
        </w:rPr>
      </w:pPr>
      <w:r w:rsidRPr="00D55B00">
        <w:rPr>
          <w:szCs w:val="22"/>
        </w:rPr>
        <w:t>Kundër vendimeve të Komisionit, të parashikuar në nenin 2 të këtij ligji, mund të bëhet ankim në përputhje me ligjin nr.8485, datë 12.5.1999 “Kodi i Procedurave Administrative””.</w:t>
      </w:r>
    </w:p>
    <w:p w:rsidR="00D470FD" w:rsidRPr="00AE62AD" w:rsidRDefault="00D470FD" w:rsidP="00D470FD">
      <w:pPr>
        <w:pStyle w:val="Paragrafi"/>
        <w:rPr>
          <w:sz w:val="18"/>
          <w:szCs w:val="22"/>
        </w:rPr>
      </w:pPr>
    </w:p>
    <w:p w:rsidR="00D470FD" w:rsidRPr="00D55B00" w:rsidRDefault="00D470FD" w:rsidP="00D470FD">
      <w:pPr>
        <w:pStyle w:val="NeniNr"/>
        <w:keepNext w:val="0"/>
        <w:rPr>
          <w:szCs w:val="22"/>
        </w:rPr>
      </w:pPr>
      <w:r w:rsidRPr="00D55B00">
        <w:rPr>
          <w:szCs w:val="22"/>
        </w:rPr>
        <w:t>Neni 4</w:t>
      </w:r>
    </w:p>
    <w:p w:rsidR="00D470FD" w:rsidRPr="00AE62AD" w:rsidRDefault="00D470FD" w:rsidP="00D470FD">
      <w:pPr>
        <w:pStyle w:val="Paragrafi"/>
        <w:rPr>
          <w:sz w:val="18"/>
          <w:szCs w:val="22"/>
        </w:rPr>
      </w:pPr>
    </w:p>
    <w:p w:rsidR="00D470FD" w:rsidRPr="00D55B00" w:rsidRDefault="00D470FD" w:rsidP="00D470FD">
      <w:pPr>
        <w:pStyle w:val="Paragrafi"/>
        <w:rPr>
          <w:szCs w:val="22"/>
        </w:rPr>
      </w:pPr>
      <w:r w:rsidRPr="00D55B00">
        <w:rPr>
          <w:szCs w:val="22"/>
        </w:rPr>
        <w:t>Brenda 3 muajve nga hyrja në fuqi e këtij ligji, ngarkohet Këshilli i Ministrave të nxjerrë aktet nënligjore në zbatim të neneve 1dhe 2 të tij.</w:t>
      </w:r>
    </w:p>
    <w:p w:rsidR="00D470FD" w:rsidRPr="00AE62AD" w:rsidRDefault="00D470FD" w:rsidP="00D470FD">
      <w:pPr>
        <w:pStyle w:val="Paragrafi"/>
        <w:rPr>
          <w:sz w:val="18"/>
          <w:szCs w:val="22"/>
        </w:rPr>
      </w:pPr>
    </w:p>
    <w:p w:rsidR="00D470FD" w:rsidRPr="00D55B00" w:rsidRDefault="00D470FD" w:rsidP="00D470FD">
      <w:pPr>
        <w:pStyle w:val="NeniNr"/>
        <w:keepNext w:val="0"/>
        <w:rPr>
          <w:szCs w:val="22"/>
        </w:rPr>
      </w:pPr>
      <w:r w:rsidRPr="00D55B00">
        <w:rPr>
          <w:szCs w:val="22"/>
        </w:rPr>
        <w:t>Neni 5</w:t>
      </w:r>
    </w:p>
    <w:p w:rsidR="00D470FD" w:rsidRPr="00AE62AD" w:rsidRDefault="00D470FD" w:rsidP="00D470FD">
      <w:pPr>
        <w:pStyle w:val="Paragrafi"/>
        <w:rPr>
          <w:sz w:val="18"/>
          <w:szCs w:val="22"/>
        </w:rPr>
      </w:pPr>
    </w:p>
    <w:p w:rsidR="00D470FD" w:rsidRPr="00D55B00" w:rsidRDefault="00D470FD" w:rsidP="00D470FD">
      <w:pPr>
        <w:pStyle w:val="Paragrafi"/>
        <w:rPr>
          <w:szCs w:val="22"/>
        </w:rPr>
      </w:pPr>
      <w:r w:rsidRPr="00D55B00">
        <w:rPr>
          <w:szCs w:val="22"/>
        </w:rPr>
        <w:t>Ky ligj hyn në fuqi 15 ditë pas botimit në Fletoren Zyrtare.</w:t>
      </w:r>
    </w:p>
    <w:p w:rsidR="00D470FD" w:rsidRPr="00D55B00" w:rsidRDefault="00D470FD" w:rsidP="00D470FD">
      <w:pPr>
        <w:pStyle w:val="Paragrafi"/>
        <w:rPr>
          <w:szCs w:val="22"/>
        </w:rPr>
      </w:pPr>
    </w:p>
    <w:p w:rsidR="00D470FD" w:rsidRPr="00AE62AD" w:rsidRDefault="00D470FD" w:rsidP="00D470FD">
      <w:pPr>
        <w:pStyle w:val="Shpallja"/>
        <w:rPr>
          <w:bCs/>
        </w:rPr>
      </w:pPr>
      <w:r w:rsidRPr="00D55B00">
        <w:t>Shpallur me dekretin nr.</w:t>
      </w:r>
      <w:r w:rsidR="003E1E3F">
        <w:t>4296</w:t>
      </w:r>
      <w:r w:rsidRPr="00D55B00">
        <w:t>, datë të Presidentit të Republikës së Shqipërisë, Alfred Moisiu</w:t>
      </w:r>
    </w:p>
    <w:p w:rsidR="00D470FD" w:rsidRDefault="00D470FD" w:rsidP="00D470FD">
      <w:pPr>
        <w:pStyle w:val="Akti"/>
        <w:keepNext w:val="0"/>
      </w:pPr>
    </w:p>
    <w:p w:rsidR="00D470FD" w:rsidRDefault="00D470FD" w:rsidP="00D470FD">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E1E3F"/>
    <w:rsid w:val="003F043A"/>
    <w:rsid w:val="004107B9"/>
    <w:rsid w:val="00411E6E"/>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621C9"/>
    <w:rsid w:val="00A923BE"/>
    <w:rsid w:val="00AA3124"/>
    <w:rsid w:val="00AA4D4B"/>
    <w:rsid w:val="00B673CE"/>
    <w:rsid w:val="00BB3954"/>
    <w:rsid w:val="00BB5AB5"/>
    <w:rsid w:val="00BC6B73"/>
    <w:rsid w:val="00C22BA7"/>
    <w:rsid w:val="00C36B40"/>
    <w:rsid w:val="00C7710C"/>
    <w:rsid w:val="00D1319A"/>
    <w:rsid w:val="00D470FD"/>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B5AFF32-69DB-497B-9BE0-B7531E7B8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0FD"/>
    <w:pPr>
      <w:widowControl w:val="0"/>
    </w:pPr>
    <w:rPr>
      <w:rFonts w:ascii="CG Times" w:eastAsia="MS Mincho"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470FD"/>
    <w:rPr>
      <w:rFonts w:ascii="CG Times" w:hAnsi="CG Times"/>
      <w:b/>
      <w:caps/>
      <w:sz w:val="22"/>
      <w:szCs w:val="22"/>
      <w:lang w:val="en-GB" w:eastAsia="en-US" w:bidi="ar-SA"/>
    </w:rPr>
  </w:style>
  <w:style w:type="character" w:customStyle="1" w:styleId="ParagrafiChar">
    <w:name w:val="Paragrafi Char"/>
    <w:basedOn w:val="DefaultParagraphFont"/>
    <w:link w:val="Paragrafi"/>
    <w:rsid w:val="00D470FD"/>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2019-03-14T17:28:00Z</dcterms:created>
  <dcterms:modified xsi:type="dcterms:W3CDTF">2019-03-14T17:28:00Z</dcterms:modified>
</cp:coreProperties>
</file>