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703" w:rsidRPr="00E40800" w:rsidRDefault="00FB4703" w:rsidP="00FB4703">
      <w:pPr>
        <w:pStyle w:val="Akti"/>
        <w:keepNext w:val="0"/>
      </w:pPr>
      <w:bookmarkStart w:id="0" w:name="_GoBack"/>
      <w:bookmarkEnd w:id="0"/>
      <w:r w:rsidRPr="00E40800">
        <w:t>LIGJ</w:t>
      </w:r>
    </w:p>
    <w:p w:rsidR="00FB4703" w:rsidRPr="00E40800" w:rsidRDefault="00FB4703" w:rsidP="00FB4703">
      <w:pPr>
        <w:pStyle w:val="NumriData"/>
        <w:keepNext w:val="0"/>
      </w:pPr>
      <w:r w:rsidRPr="00E40800">
        <w:t>Nr.9339, datë 21.12.2004</w:t>
      </w:r>
    </w:p>
    <w:p w:rsidR="00FB4703" w:rsidRPr="00E40800" w:rsidRDefault="00FB4703" w:rsidP="00FB4703">
      <w:pPr>
        <w:pStyle w:val="Paragrafi"/>
        <w:rPr>
          <w:lang w:val="en-GB"/>
        </w:rPr>
      </w:pPr>
    </w:p>
    <w:p w:rsidR="00FB4703" w:rsidRPr="00E40800" w:rsidRDefault="00FB4703" w:rsidP="00FB4703">
      <w:pPr>
        <w:pStyle w:val="Titulli"/>
        <w:keepNext w:val="0"/>
      </w:pPr>
      <w:r w:rsidRPr="00E40800">
        <w:t>PËR BUXHETIN E SHTETIT TË VITIT 2005</w:t>
      </w:r>
    </w:p>
    <w:p w:rsidR="00FB4703" w:rsidRPr="00E40800" w:rsidRDefault="00FB4703" w:rsidP="00FB4703">
      <w:pPr>
        <w:pStyle w:val="Paragrafi"/>
      </w:pPr>
    </w:p>
    <w:p w:rsidR="00FB4703" w:rsidRPr="00E40800" w:rsidRDefault="00FB4703" w:rsidP="00FB4703">
      <w:pPr>
        <w:pStyle w:val="BazLigjPropozues"/>
        <w:keepNext w:val="0"/>
      </w:pPr>
      <w:r w:rsidRPr="00E40800">
        <w:t xml:space="preserve">Në mbështetje të neneve 78, 83 pika 1 dhe 158 të Kushtetutës, me propozimin e Këshillit të Ministrave, </w:t>
      </w:r>
    </w:p>
    <w:p w:rsidR="00FB4703" w:rsidRPr="00E40800" w:rsidRDefault="00FB4703" w:rsidP="00FB4703">
      <w:pPr>
        <w:pStyle w:val="Paragrafi"/>
      </w:pPr>
    </w:p>
    <w:p w:rsidR="00FB4703" w:rsidRPr="00E40800" w:rsidRDefault="00FB4703" w:rsidP="00FB4703">
      <w:pPr>
        <w:pStyle w:val="Institucioni"/>
        <w:keepNext w:val="0"/>
        <w:rPr>
          <w:lang w:val="it-IT"/>
        </w:rPr>
      </w:pPr>
      <w:r w:rsidRPr="00E40800">
        <w:rPr>
          <w:lang w:val="it-IT"/>
        </w:rPr>
        <w:t xml:space="preserve">KUVENDI </w:t>
      </w:r>
    </w:p>
    <w:p w:rsidR="00FB4703" w:rsidRPr="00E40800" w:rsidRDefault="00FB4703" w:rsidP="00FB4703">
      <w:pPr>
        <w:pStyle w:val="Institucioni"/>
        <w:keepNext w:val="0"/>
        <w:rPr>
          <w:lang w:val="it-IT"/>
        </w:rPr>
      </w:pPr>
      <w:r w:rsidRPr="00E40800">
        <w:rPr>
          <w:lang w:val="it-IT"/>
        </w:rPr>
        <w:t>I REPUBLIKËS SË SHQIPËRISË</w:t>
      </w:r>
    </w:p>
    <w:p w:rsidR="00FB4703" w:rsidRPr="00E40800" w:rsidRDefault="00FB4703" w:rsidP="00FB4703">
      <w:pPr>
        <w:pStyle w:val="Paragrafi"/>
        <w:rPr>
          <w:lang w:val="it-IT"/>
        </w:rPr>
      </w:pPr>
    </w:p>
    <w:p w:rsidR="00FB4703" w:rsidRPr="00E40800" w:rsidRDefault="00FB4703" w:rsidP="00FB4703">
      <w:pPr>
        <w:pStyle w:val="VENDOSI"/>
        <w:keepNext w:val="0"/>
        <w:rPr>
          <w:lang w:val="it-IT"/>
        </w:rPr>
      </w:pPr>
      <w:r w:rsidRPr="00E40800">
        <w:rPr>
          <w:lang w:val="it-IT"/>
        </w:rPr>
        <w:t>VENDOSI:</w:t>
      </w:r>
    </w:p>
    <w:p w:rsidR="00FB4703" w:rsidRPr="00E40800" w:rsidRDefault="00FB4703" w:rsidP="00FB4703">
      <w:pPr>
        <w:pStyle w:val="Paragrafi"/>
        <w:rPr>
          <w:lang w:val="it-IT"/>
        </w:rPr>
      </w:pPr>
    </w:p>
    <w:p w:rsidR="00FB4703" w:rsidRPr="00E40800" w:rsidRDefault="00FB4703" w:rsidP="00FB4703">
      <w:pPr>
        <w:pStyle w:val="KreuNr"/>
        <w:keepNext w:val="0"/>
        <w:rPr>
          <w:lang w:val="it-IT"/>
        </w:rPr>
      </w:pPr>
      <w:r w:rsidRPr="00E40800">
        <w:rPr>
          <w:lang w:val="it-IT"/>
        </w:rPr>
        <w:t>KREU I</w:t>
      </w:r>
    </w:p>
    <w:p w:rsidR="00FB4703" w:rsidRPr="00E40800" w:rsidRDefault="00FB4703" w:rsidP="00FB4703">
      <w:pPr>
        <w:pStyle w:val="KreuTitull"/>
        <w:keepNext w:val="0"/>
        <w:rPr>
          <w:lang w:val="it-IT"/>
        </w:rPr>
      </w:pPr>
      <w:r w:rsidRPr="00E40800">
        <w:rPr>
          <w:lang w:val="it-IT"/>
        </w:rPr>
        <w:t>BUXHETI I SHTETIT</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w:t>
      </w:r>
    </w:p>
    <w:p w:rsidR="00FB4703" w:rsidRPr="00E40800" w:rsidRDefault="00FB4703" w:rsidP="00FB4703">
      <w:pPr>
        <w:pStyle w:val="Paragrafi"/>
        <w:rPr>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9"/>
        <w:gridCol w:w="3603"/>
      </w:tblGrid>
      <w:tr w:rsidR="00FB4703" w:rsidRPr="00E40800">
        <w:trPr>
          <w:jc w:val="center"/>
        </w:trPr>
        <w:tc>
          <w:tcPr>
            <w:tcW w:w="4369" w:type="dxa"/>
          </w:tcPr>
          <w:p w:rsidR="00FB4703" w:rsidRPr="00E40800" w:rsidRDefault="00FB4703" w:rsidP="00FB4703">
            <w:pPr>
              <w:pStyle w:val="Tabele"/>
            </w:pPr>
            <w:r w:rsidRPr="00E40800">
              <w:t>Fondi i konsoliduar për vitin 2005 është:</w:t>
            </w:r>
          </w:p>
        </w:tc>
        <w:tc>
          <w:tcPr>
            <w:tcW w:w="3603" w:type="dxa"/>
          </w:tcPr>
          <w:p w:rsidR="00FB4703" w:rsidRPr="00E40800" w:rsidRDefault="00FB4703" w:rsidP="00226EFB">
            <w:pPr>
              <w:pStyle w:val="Tabele"/>
              <w:jc w:val="right"/>
            </w:pPr>
          </w:p>
        </w:tc>
      </w:tr>
      <w:tr w:rsidR="00FB4703" w:rsidRPr="00E40800">
        <w:trPr>
          <w:jc w:val="center"/>
        </w:trPr>
        <w:tc>
          <w:tcPr>
            <w:tcW w:w="4369" w:type="dxa"/>
          </w:tcPr>
          <w:p w:rsidR="00FB4703" w:rsidRPr="00E40800" w:rsidRDefault="00FB4703" w:rsidP="00FB4703">
            <w:pPr>
              <w:pStyle w:val="Tabele"/>
            </w:pPr>
            <w:r w:rsidRPr="00E40800">
              <w:t>Të ardhurat e Buxhetit të Shtetit</w:t>
            </w:r>
          </w:p>
        </w:tc>
        <w:tc>
          <w:tcPr>
            <w:tcW w:w="3603" w:type="dxa"/>
          </w:tcPr>
          <w:p w:rsidR="00FB4703" w:rsidRPr="00090E4E" w:rsidRDefault="00FB4703" w:rsidP="00226EFB">
            <w:pPr>
              <w:pStyle w:val="Tabele"/>
              <w:jc w:val="right"/>
            </w:pPr>
            <w:r w:rsidRPr="00090E4E">
              <w:t>169 854  milionë lekë</w:t>
            </w:r>
          </w:p>
        </w:tc>
      </w:tr>
      <w:tr w:rsidR="00FB4703" w:rsidRPr="00E40800">
        <w:trPr>
          <w:trHeight w:val="351"/>
          <w:jc w:val="center"/>
        </w:trPr>
        <w:tc>
          <w:tcPr>
            <w:tcW w:w="4369" w:type="dxa"/>
          </w:tcPr>
          <w:p w:rsidR="00FB4703" w:rsidRPr="00E40800" w:rsidRDefault="00FB4703" w:rsidP="00FB4703">
            <w:pPr>
              <w:pStyle w:val="Tabele"/>
            </w:pPr>
            <w:r w:rsidRPr="00E40800">
              <w:t>Shpenzimet e Buxhetit të Shtetit</w:t>
            </w:r>
            <w:r w:rsidRPr="00E40800">
              <w:tab/>
            </w:r>
          </w:p>
        </w:tc>
        <w:tc>
          <w:tcPr>
            <w:tcW w:w="3603" w:type="dxa"/>
          </w:tcPr>
          <w:p w:rsidR="00FB4703" w:rsidRPr="00090E4E" w:rsidRDefault="00FB4703" w:rsidP="00226EFB">
            <w:pPr>
              <w:pStyle w:val="Tabele"/>
              <w:jc w:val="right"/>
            </w:pPr>
            <w:r w:rsidRPr="00090E4E">
              <w:t>212 011  milionë lekë</w:t>
            </w:r>
          </w:p>
        </w:tc>
      </w:tr>
      <w:tr w:rsidR="00FB4703" w:rsidRPr="00E40800">
        <w:trPr>
          <w:jc w:val="center"/>
        </w:trPr>
        <w:tc>
          <w:tcPr>
            <w:tcW w:w="4369" w:type="dxa"/>
          </w:tcPr>
          <w:p w:rsidR="00FB4703" w:rsidRPr="00E40800" w:rsidRDefault="00FB4703" w:rsidP="00FB4703">
            <w:pPr>
              <w:pStyle w:val="Tabele"/>
            </w:pPr>
            <w:r w:rsidRPr="00E40800">
              <w:t>Deficiti</w:t>
            </w:r>
            <w:r w:rsidRPr="00E40800">
              <w:tab/>
              <w:t xml:space="preserve">  </w:t>
            </w:r>
          </w:p>
        </w:tc>
        <w:tc>
          <w:tcPr>
            <w:tcW w:w="3603" w:type="dxa"/>
          </w:tcPr>
          <w:p w:rsidR="00FB4703" w:rsidRPr="00090E4E" w:rsidRDefault="00FB4703" w:rsidP="00226EFB">
            <w:pPr>
              <w:pStyle w:val="Tabele"/>
              <w:jc w:val="right"/>
            </w:pPr>
            <w:r w:rsidRPr="00090E4E">
              <w:t>42 157  milionë lekë</w:t>
            </w:r>
          </w:p>
        </w:tc>
      </w:tr>
      <w:tr w:rsidR="00FB4703" w:rsidRPr="00E40800">
        <w:trPr>
          <w:jc w:val="center"/>
        </w:trPr>
        <w:tc>
          <w:tcPr>
            <w:tcW w:w="4369" w:type="dxa"/>
          </w:tcPr>
          <w:p w:rsidR="00FB4703" w:rsidRPr="00E40800" w:rsidRDefault="00FB4703" w:rsidP="00FB4703">
            <w:pPr>
              <w:pStyle w:val="Tabele"/>
            </w:pPr>
            <w:r w:rsidRPr="00E40800">
              <w:t>Fondi i konsoliduar përbëhet:</w:t>
            </w:r>
          </w:p>
        </w:tc>
        <w:tc>
          <w:tcPr>
            <w:tcW w:w="3603" w:type="dxa"/>
          </w:tcPr>
          <w:p w:rsidR="00FB4703" w:rsidRPr="00E40800" w:rsidRDefault="00FB4703" w:rsidP="00226EFB">
            <w:pPr>
              <w:pStyle w:val="Tabele"/>
              <w:jc w:val="right"/>
            </w:pPr>
          </w:p>
        </w:tc>
      </w:tr>
      <w:tr w:rsidR="00FB4703" w:rsidRPr="00E40800">
        <w:trPr>
          <w:jc w:val="center"/>
        </w:trPr>
        <w:tc>
          <w:tcPr>
            <w:tcW w:w="4369" w:type="dxa"/>
          </w:tcPr>
          <w:p w:rsidR="00FB4703" w:rsidRPr="00E40800" w:rsidRDefault="00FB4703" w:rsidP="00FB4703">
            <w:pPr>
              <w:pStyle w:val="Tabele"/>
            </w:pPr>
            <w:r w:rsidRPr="00E40800">
              <w:t>A. Buxheti Qendror:</w:t>
            </w:r>
          </w:p>
        </w:tc>
        <w:tc>
          <w:tcPr>
            <w:tcW w:w="3603" w:type="dxa"/>
          </w:tcPr>
          <w:p w:rsidR="00FB4703" w:rsidRPr="00E40800" w:rsidRDefault="00FB4703" w:rsidP="00226EFB">
            <w:pPr>
              <w:pStyle w:val="Tabele"/>
              <w:jc w:val="right"/>
            </w:pPr>
          </w:p>
        </w:tc>
      </w:tr>
      <w:tr w:rsidR="00FB4703" w:rsidRPr="00E40800">
        <w:trPr>
          <w:jc w:val="center"/>
        </w:trPr>
        <w:tc>
          <w:tcPr>
            <w:tcW w:w="4369" w:type="dxa"/>
          </w:tcPr>
          <w:p w:rsidR="00FB4703" w:rsidRPr="00E40800" w:rsidRDefault="00FB4703" w:rsidP="00FB4703">
            <w:pPr>
              <w:pStyle w:val="Tabele"/>
            </w:pPr>
            <w:r w:rsidRPr="00E40800">
              <w:t>Të ardhurat</w:t>
            </w:r>
          </w:p>
        </w:tc>
        <w:tc>
          <w:tcPr>
            <w:tcW w:w="3603" w:type="dxa"/>
          </w:tcPr>
          <w:p w:rsidR="00FB4703" w:rsidRPr="00090E4E" w:rsidRDefault="00FB4703" w:rsidP="00226EFB">
            <w:pPr>
              <w:pStyle w:val="Tabele"/>
              <w:jc w:val="right"/>
            </w:pPr>
            <w:r w:rsidRPr="00090E4E">
              <w:t>159  499  milionë lekë</w:t>
            </w:r>
          </w:p>
        </w:tc>
      </w:tr>
      <w:tr w:rsidR="00FB4703" w:rsidRPr="00E40800">
        <w:trPr>
          <w:jc w:val="center"/>
        </w:trPr>
        <w:tc>
          <w:tcPr>
            <w:tcW w:w="4369" w:type="dxa"/>
          </w:tcPr>
          <w:p w:rsidR="00FB4703" w:rsidRPr="00E40800" w:rsidRDefault="00FB4703" w:rsidP="00FB4703">
            <w:pPr>
              <w:pStyle w:val="Tabele"/>
            </w:pPr>
            <w:r w:rsidRPr="00E40800">
              <w:t>Shpenzimet</w:t>
            </w:r>
          </w:p>
        </w:tc>
        <w:tc>
          <w:tcPr>
            <w:tcW w:w="3603" w:type="dxa"/>
          </w:tcPr>
          <w:p w:rsidR="00FB4703" w:rsidRPr="00090E4E" w:rsidRDefault="00FB4703" w:rsidP="00226EFB">
            <w:pPr>
              <w:pStyle w:val="Tabele"/>
              <w:jc w:val="right"/>
            </w:pPr>
            <w:r w:rsidRPr="00090E4E">
              <w:t>201 656  milionë lekë</w:t>
            </w:r>
          </w:p>
        </w:tc>
      </w:tr>
      <w:tr w:rsidR="00FB4703" w:rsidRPr="00E40800">
        <w:trPr>
          <w:jc w:val="center"/>
        </w:trPr>
        <w:tc>
          <w:tcPr>
            <w:tcW w:w="4369" w:type="dxa"/>
          </w:tcPr>
          <w:p w:rsidR="00FB4703" w:rsidRPr="00E40800" w:rsidRDefault="00FB4703" w:rsidP="00FB4703">
            <w:pPr>
              <w:pStyle w:val="Tabele"/>
            </w:pPr>
            <w:r w:rsidRPr="00E40800">
              <w:t>B. Buxheti i pavarur i pushtetit vendor:</w:t>
            </w:r>
            <w:r w:rsidRPr="00E40800">
              <w:tab/>
            </w:r>
          </w:p>
        </w:tc>
        <w:tc>
          <w:tcPr>
            <w:tcW w:w="3603" w:type="dxa"/>
          </w:tcPr>
          <w:p w:rsidR="00FB4703" w:rsidRPr="00E40800" w:rsidRDefault="00FB4703" w:rsidP="00226EFB">
            <w:pPr>
              <w:pStyle w:val="Tabele"/>
              <w:jc w:val="right"/>
            </w:pPr>
          </w:p>
        </w:tc>
      </w:tr>
      <w:tr w:rsidR="00FB4703" w:rsidRPr="00E40800">
        <w:trPr>
          <w:jc w:val="center"/>
        </w:trPr>
        <w:tc>
          <w:tcPr>
            <w:tcW w:w="4369" w:type="dxa"/>
          </w:tcPr>
          <w:p w:rsidR="00FB4703" w:rsidRPr="00E40800" w:rsidRDefault="00FB4703" w:rsidP="00FB4703">
            <w:pPr>
              <w:pStyle w:val="Tabele"/>
            </w:pPr>
            <w:r w:rsidRPr="00E40800">
              <w:t>Të ardhurat</w:t>
            </w:r>
          </w:p>
        </w:tc>
        <w:tc>
          <w:tcPr>
            <w:tcW w:w="3603" w:type="dxa"/>
          </w:tcPr>
          <w:p w:rsidR="00FB4703" w:rsidRPr="00090E4E" w:rsidRDefault="00FB4703" w:rsidP="00226EFB">
            <w:pPr>
              <w:pStyle w:val="Tabele"/>
              <w:jc w:val="right"/>
            </w:pPr>
            <w:r w:rsidRPr="00090E4E">
              <w:t>17 655  milionë lekë</w:t>
            </w:r>
          </w:p>
        </w:tc>
      </w:tr>
      <w:tr w:rsidR="00FB4703" w:rsidRPr="00E40800">
        <w:trPr>
          <w:jc w:val="center"/>
        </w:trPr>
        <w:tc>
          <w:tcPr>
            <w:tcW w:w="4369" w:type="dxa"/>
          </w:tcPr>
          <w:p w:rsidR="00FB4703" w:rsidRPr="00E40800" w:rsidRDefault="00FB4703" w:rsidP="00FB4703">
            <w:pPr>
              <w:pStyle w:val="Tabele"/>
            </w:pPr>
            <w:r w:rsidRPr="00E40800">
              <w:t>Nga të cilat:</w:t>
            </w:r>
          </w:p>
        </w:tc>
        <w:tc>
          <w:tcPr>
            <w:tcW w:w="3603" w:type="dxa"/>
          </w:tcPr>
          <w:p w:rsidR="00FB4703" w:rsidRPr="00E40800" w:rsidRDefault="00FB4703" w:rsidP="00226EFB">
            <w:pPr>
              <w:pStyle w:val="Tabele"/>
              <w:jc w:val="right"/>
            </w:pPr>
          </w:p>
        </w:tc>
      </w:tr>
      <w:tr w:rsidR="00FB4703" w:rsidRPr="00E40800">
        <w:trPr>
          <w:jc w:val="center"/>
        </w:trPr>
        <w:tc>
          <w:tcPr>
            <w:tcW w:w="4369" w:type="dxa"/>
          </w:tcPr>
          <w:p w:rsidR="00FB4703" w:rsidRPr="00E40800" w:rsidRDefault="00FB4703" w:rsidP="00FB4703">
            <w:pPr>
              <w:pStyle w:val="Tabele"/>
            </w:pPr>
            <w:r w:rsidRPr="00E40800">
              <w:t>Granti nga Buxheti Qendror</w:t>
            </w:r>
            <w:r w:rsidRPr="00E40800">
              <w:tab/>
            </w:r>
          </w:p>
        </w:tc>
        <w:tc>
          <w:tcPr>
            <w:tcW w:w="3603" w:type="dxa"/>
          </w:tcPr>
          <w:p w:rsidR="00FB4703" w:rsidRPr="00090E4E" w:rsidRDefault="00FB4703" w:rsidP="00226EFB">
            <w:pPr>
              <w:pStyle w:val="Tabele"/>
              <w:jc w:val="right"/>
            </w:pPr>
            <w:r w:rsidRPr="00090E4E">
              <w:t>7 300   milionë lekë</w:t>
            </w:r>
          </w:p>
        </w:tc>
      </w:tr>
      <w:tr w:rsidR="00FB4703" w:rsidRPr="00E40800">
        <w:trPr>
          <w:jc w:val="center"/>
        </w:trPr>
        <w:tc>
          <w:tcPr>
            <w:tcW w:w="4369" w:type="dxa"/>
          </w:tcPr>
          <w:p w:rsidR="00FB4703" w:rsidRPr="00E40800" w:rsidRDefault="00FB4703" w:rsidP="00FB4703">
            <w:pPr>
              <w:pStyle w:val="Tabele"/>
            </w:pPr>
            <w:r w:rsidRPr="00E40800">
              <w:t>Shpenzimet</w:t>
            </w:r>
          </w:p>
        </w:tc>
        <w:tc>
          <w:tcPr>
            <w:tcW w:w="3603" w:type="dxa"/>
          </w:tcPr>
          <w:p w:rsidR="00FB4703" w:rsidRPr="00090E4E" w:rsidRDefault="00FB4703" w:rsidP="00226EFB">
            <w:pPr>
              <w:pStyle w:val="Tabele"/>
              <w:jc w:val="right"/>
            </w:pPr>
            <w:r w:rsidRPr="00090E4E">
              <w:t>17 655  milionë lekë</w:t>
            </w:r>
          </w:p>
        </w:tc>
      </w:tr>
    </w:tbl>
    <w:p w:rsidR="00FB4703" w:rsidRPr="00E40800" w:rsidRDefault="00FB4703" w:rsidP="00FB4703">
      <w:pPr>
        <w:pStyle w:val="Paragrafi"/>
        <w:ind w:firstLine="0"/>
      </w:pPr>
      <w:r w:rsidRPr="00E40800">
        <w:tab/>
      </w:r>
      <w:r w:rsidRPr="00E40800">
        <w:tab/>
        <w:t xml:space="preserve"> </w:t>
      </w:r>
      <w:r w:rsidRPr="00E40800">
        <w:tab/>
      </w:r>
      <w:r w:rsidRPr="00E40800">
        <w:tab/>
      </w:r>
      <w:r w:rsidRPr="00E40800">
        <w:tab/>
      </w:r>
      <w:r w:rsidRPr="00E40800">
        <w:tab/>
      </w:r>
      <w:r w:rsidRPr="00E40800">
        <w:tab/>
      </w:r>
      <w:r w:rsidRPr="00E40800">
        <w:tab/>
      </w:r>
      <w:r w:rsidRPr="00E40800">
        <w:tab/>
      </w:r>
    </w:p>
    <w:p w:rsidR="00FB4703" w:rsidRPr="00E40800" w:rsidRDefault="00FB4703" w:rsidP="00FB4703">
      <w:pPr>
        <w:pStyle w:val="NeniNr"/>
        <w:keepNext w:val="0"/>
      </w:pPr>
      <w:r w:rsidRPr="00E40800">
        <w:t>Neni 2</w:t>
      </w:r>
    </w:p>
    <w:p w:rsidR="00FB4703" w:rsidRPr="00E40800" w:rsidRDefault="00FB4703" w:rsidP="00FB4703">
      <w:pPr>
        <w:pStyle w:val="Paragrafi"/>
      </w:pPr>
    </w:p>
    <w:p w:rsidR="00FB4703" w:rsidRPr="00E40800" w:rsidRDefault="00FB4703" w:rsidP="00FB4703">
      <w:pPr>
        <w:pStyle w:val="Paragrafi"/>
        <w:rPr>
          <w:lang w:val="it-IT"/>
        </w:rPr>
      </w:pPr>
      <w:r w:rsidRPr="00E40800">
        <w:rPr>
          <w:lang w:val="it-IT"/>
        </w:rPr>
        <w:t>Buxheti i sigurimeve shoqërore për vitin 2005 është:</w:t>
      </w:r>
    </w:p>
    <w:p w:rsidR="00FB4703" w:rsidRPr="00E40800" w:rsidRDefault="00FB4703" w:rsidP="00FB4703">
      <w:pPr>
        <w:pStyle w:val="Paragrafi"/>
        <w:rPr>
          <w:lang w:val="it-IT"/>
        </w:rPr>
      </w:pPr>
      <w:r w:rsidRPr="00E40800">
        <w:rPr>
          <w:lang w:val="it-IT"/>
        </w:rPr>
        <w:t>A. Skema e sigurimit të detyrueshëm shoqëror</w:t>
      </w:r>
    </w:p>
    <w:p w:rsidR="00FB4703" w:rsidRPr="00E40800" w:rsidRDefault="00FB4703" w:rsidP="00FB4703">
      <w:pPr>
        <w:pStyle w:val="Paragrafi"/>
        <w:rPr>
          <w:lang w:val="it-IT"/>
        </w:rPr>
      </w:pPr>
      <w:r w:rsidRPr="00E40800">
        <w:rPr>
          <w:lang w:val="it-IT"/>
        </w:rPr>
        <w:t>Të ardhurat, gjithsej</w:t>
      </w:r>
      <w:r w:rsidRPr="00E40800">
        <w:rPr>
          <w:lang w:val="it-IT"/>
        </w:rPr>
        <w:tab/>
      </w:r>
      <w:r w:rsidRPr="00E40800">
        <w:rPr>
          <w:lang w:val="it-IT"/>
        </w:rPr>
        <w:tab/>
      </w:r>
      <w:r w:rsidRPr="00E40800">
        <w:rPr>
          <w:lang w:val="it-IT"/>
        </w:rPr>
        <w:tab/>
      </w:r>
      <w:r w:rsidRPr="00E40800">
        <w:rPr>
          <w:lang w:val="it-IT"/>
        </w:rPr>
        <w:tab/>
      </w:r>
      <w:r w:rsidRPr="00E40800">
        <w:rPr>
          <w:lang w:val="it-IT"/>
        </w:rPr>
        <w:tab/>
      </w:r>
      <w:r w:rsidRPr="00E40800">
        <w:rPr>
          <w:lang w:val="it-IT"/>
        </w:rPr>
        <w:tab/>
        <w:t>46 521</w:t>
      </w:r>
      <w:r w:rsidRPr="00E40800">
        <w:rPr>
          <w:lang w:val="it-IT"/>
        </w:rPr>
        <w:tab/>
        <w:t>milionë lekë</w:t>
      </w:r>
    </w:p>
    <w:p w:rsidR="00FB4703" w:rsidRPr="00E40800" w:rsidRDefault="00FB4703" w:rsidP="00FB4703">
      <w:pPr>
        <w:pStyle w:val="Paragrafi"/>
        <w:rPr>
          <w:lang w:val="it-IT"/>
        </w:rPr>
      </w:pPr>
      <w:r w:rsidRPr="00E40800">
        <w:rPr>
          <w:lang w:val="it-IT"/>
        </w:rPr>
        <w:t>- Nga kontributet</w:t>
      </w:r>
      <w:r w:rsidRPr="00E40800">
        <w:rPr>
          <w:lang w:val="it-IT"/>
        </w:rPr>
        <w:tab/>
      </w:r>
      <w:r w:rsidRPr="00E40800">
        <w:rPr>
          <w:lang w:val="it-IT"/>
        </w:rPr>
        <w:tab/>
      </w:r>
      <w:r w:rsidRPr="00E40800">
        <w:rPr>
          <w:lang w:val="it-IT"/>
        </w:rPr>
        <w:tab/>
      </w:r>
      <w:r w:rsidRPr="00E40800">
        <w:rPr>
          <w:lang w:val="it-IT"/>
        </w:rPr>
        <w:tab/>
      </w:r>
      <w:r w:rsidRPr="00E40800">
        <w:rPr>
          <w:lang w:val="it-IT"/>
        </w:rPr>
        <w:tab/>
      </w:r>
      <w:r w:rsidRPr="00E40800">
        <w:rPr>
          <w:lang w:val="it-IT"/>
        </w:rPr>
        <w:tab/>
        <w:t>33 267</w:t>
      </w:r>
      <w:r w:rsidRPr="00E40800">
        <w:rPr>
          <w:lang w:val="it-IT"/>
        </w:rPr>
        <w:tab/>
        <w:t>milionë lekë</w:t>
      </w:r>
    </w:p>
    <w:p w:rsidR="00FB4703" w:rsidRPr="00E40800" w:rsidRDefault="00FB4703" w:rsidP="00FB4703">
      <w:pPr>
        <w:pStyle w:val="Paragrafi"/>
        <w:rPr>
          <w:lang w:val="it-IT"/>
        </w:rPr>
      </w:pPr>
      <w:r w:rsidRPr="00E40800">
        <w:rPr>
          <w:lang w:val="it-IT"/>
        </w:rPr>
        <w:t>- Transferimet nga Buxheti i Shtetit</w:t>
      </w:r>
      <w:r w:rsidRPr="00E40800">
        <w:rPr>
          <w:lang w:val="it-IT"/>
        </w:rPr>
        <w:tab/>
      </w:r>
      <w:r w:rsidRPr="00E40800">
        <w:rPr>
          <w:lang w:val="it-IT"/>
        </w:rPr>
        <w:tab/>
      </w:r>
      <w:r w:rsidRPr="00E40800">
        <w:rPr>
          <w:lang w:val="it-IT"/>
        </w:rPr>
        <w:tab/>
      </w:r>
      <w:r w:rsidRPr="00E40800">
        <w:rPr>
          <w:lang w:val="it-IT"/>
        </w:rPr>
        <w:tab/>
        <w:t>13 254</w:t>
      </w:r>
      <w:r w:rsidRPr="00E40800">
        <w:rPr>
          <w:lang w:val="it-IT"/>
        </w:rPr>
        <w:tab/>
        <w:t>milionë lekë</w:t>
      </w:r>
    </w:p>
    <w:p w:rsidR="00FB4703" w:rsidRPr="00E40800" w:rsidRDefault="00FB4703" w:rsidP="00FB4703">
      <w:pPr>
        <w:pStyle w:val="Paragrafi"/>
        <w:rPr>
          <w:lang w:val="it-IT"/>
        </w:rPr>
      </w:pPr>
      <w:r w:rsidRPr="00E40800">
        <w:rPr>
          <w:lang w:val="it-IT"/>
        </w:rPr>
        <w:t>Shpenzimet</w:t>
      </w:r>
      <w:r w:rsidRPr="00E40800">
        <w:rPr>
          <w:lang w:val="it-IT"/>
        </w:rPr>
        <w:tab/>
      </w:r>
      <w:r w:rsidRPr="00E40800">
        <w:rPr>
          <w:lang w:val="it-IT"/>
        </w:rPr>
        <w:tab/>
      </w:r>
      <w:r w:rsidRPr="00E40800">
        <w:rPr>
          <w:lang w:val="it-IT"/>
        </w:rPr>
        <w:tab/>
      </w:r>
      <w:r w:rsidRPr="00E40800">
        <w:rPr>
          <w:lang w:val="it-IT"/>
        </w:rPr>
        <w:tab/>
      </w:r>
      <w:r w:rsidRPr="00E40800">
        <w:rPr>
          <w:lang w:val="it-IT"/>
        </w:rPr>
        <w:tab/>
      </w:r>
      <w:r w:rsidRPr="00E40800">
        <w:rPr>
          <w:lang w:val="it-IT"/>
        </w:rPr>
        <w:tab/>
      </w:r>
      <w:r w:rsidRPr="00E40800">
        <w:rPr>
          <w:lang w:val="it-IT"/>
        </w:rPr>
        <w:tab/>
        <w:t>46 521</w:t>
      </w:r>
      <w:r w:rsidRPr="00E40800">
        <w:rPr>
          <w:lang w:val="it-IT"/>
        </w:rPr>
        <w:tab/>
        <w:t>milionë lekë</w:t>
      </w:r>
    </w:p>
    <w:p w:rsidR="00FB4703" w:rsidRPr="00E40800" w:rsidRDefault="00FB4703" w:rsidP="00FB4703">
      <w:pPr>
        <w:pStyle w:val="Paragrafi"/>
        <w:rPr>
          <w:lang w:val="it-IT"/>
        </w:rPr>
      </w:pPr>
      <w:r w:rsidRPr="00E40800">
        <w:rPr>
          <w:lang w:val="it-IT"/>
        </w:rPr>
        <w:t>Paga minimale, për efekt të pagesës së kontributit të sigurimeve shoqërore dhe shëndetësore, deri në rritjen e pagave, është 11 376 lekë në muaj. Pas rritjes së pagave, Këshilli i Ministrave përcakton pagën e re.</w:t>
      </w:r>
    </w:p>
    <w:p w:rsidR="00FB4703" w:rsidRPr="00E40800" w:rsidRDefault="00FB4703" w:rsidP="00FB4703">
      <w:pPr>
        <w:pStyle w:val="Paragrafi"/>
        <w:rPr>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39"/>
        <w:gridCol w:w="2717"/>
      </w:tblGrid>
      <w:tr w:rsidR="00FB4703" w:rsidRPr="00E40800">
        <w:trPr>
          <w:jc w:val="center"/>
        </w:trPr>
        <w:tc>
          <w:tcPr>
            <w:tcW w:w="5039" w:type="dxa"/>
          </w:tcPr>
          <w:p w:rsidR="00FB4703" w:rsidRPr="00E40800" w:rsidRDefault="00FB4703" w:rsidP="00FB4703">
            <w:pPr>
              <w:pStyle w:val="Tabele"/>
              <w:rPr>
                <w:lang w:val="it-IT"/>
              </w:rPr>
            </w:pPr>
            <w:r w:rsidRPr="00E40800">
              <w:rPr>
                <w:lang w:val="it-IT"/>
              </w:rPr>
              <w:t>B. Skema e sigurimit suplementar</w:t>
            </w:r>
          </w:p>
        </w:tc>
        <w:tc>
          <w:tcPr>
            <w:tcW w:w="2717" w:type="dxa"/>
          </w:tcPr>
          <w:p w:rsidR="00FB4703" w:rsidRPr="00E40800" w:rsidRDefault="00FB4703" w:rsidP="00FB4703">
            <w:pPr>
              <w:pStyle w:val="Tabele"/>
              <w:rPr>
                <w:lang w:val="it-IT"/>
              </w:rPr>
            </w:pPr>
          </w:p>
        </w:tc>
      </w:tr>
      <w:tr w:rsidR="00FB4703" w:rsidRPr="00E40800">
        <w:trPr>
          <w:jc w:val="center"/>
        </w:trPr>
        <w:tc>
          <w:tcPr>
            <w:tcW w:w="5039" w:type="dxa"/>
          </w:tcPr>
          <w:p w:rsidR="00FB4703" w:rsidRPr="00E40800" w:rsidRDefault="00FB4703" w:rsidP="00FB4703">
            <w:pPr>
              <w:pStyle w:val="Tabele"/>
            </w:pPr>
            <w:r w:rsidRPr="00E40800">
              <w:t>Të ardhurat, gjithsej</w:t>
            </w:r>
          </w:p>
        </w:tc>
        <w:tc>
          <w:tcPr>
            <w:tcW w:w="2717" w:type="dxa"/>
          </w:tcPr>
          <w:p w:rsidR="00FB4703" w:rsidRPr="00090E4E" w:rsidRDefault="00FB4703" w:rsidP="00FB4703">
            <w:pPr>
              <w:pStyle w:val="Tabele"/>
            </w:pPr>
            <w:r w:rsidRPr="00090E4E">
              <w:t xml:space="preserve"> 2 758  milionë lekë</w:t>
            </w:r>
          </w:p>
        </w:tc>
      </w:tr>
      <w:tr w:rsidR="00FB4703" w:rsidRPr="00E40800">
        <w:trPr>
          <w:jc w:val="center"/>
        </w:trPr>
        <w:tc>
          <w:tcPr>
            <w:tcW w:w="5039" w:type="dxa"/>
          </w:tcPr>
          <w:p w:rsidR="00FB4703" w:rsidRPr="00E40800" w:rsidRDefault="00FB4703" w:rsidP="00FB4703">
            <w:pPr>
              <w:pStyle w:val="Tabele"/>
            </w:pPr>
            <w:r w:rsidRPr="00E40800">
              <w:t>- Nga kontributet</w:t>
            </w:r>
          </w:p>
        </w:tc>
        <w:tc>
          <w:tcPr>
            <w:tcW w:w="2717" w:type="dxa"/>
          </w:tcPr>
          <w:p w:rsidR="00FB4703" w:rsidRPr="00090E4E" w:rsidRDefault="00FB4703" w:rsidP="00FB4703">
            <w:pPr>
              <w:pStyle w:val="Tabele"/>
            </w:pPr>
            <w:r w:rsidRPr="00090E4E">
              <w:t xml:space="preserve">     55  milionë lekë</w:t>
            </w:r>
          </w:p>
        </w:tc>
      </w:tr>
      <w:tr w:rsidR="00FB4703" w:rsidRPr="00E40800">
        <w:trPr>
          <w:jc w:val="center"/>
        </w:trPr>
        <w:tc>
          <w:tcPr>
            <w:tcW w:w="5039" w:type="dxa"/>
          </w:tcPr>
          <w:p w:rsidR="00FB4703" w:rsidRPr="00E40800" w:rsidRDefault="00FB4703" w:rsidP="00FB4703">
            <w:pPr>
              <w:pStyle w:val="Tabele"/>
            </w:pPr>
            <w:r w:rsidRPr="00E40800">
              <w:t>- Transferimet nga Buxheti i Shtetit</w:t>
            </w:r>
          </w:p>
        </w:tc>
        <w:tc>
          <w:tcPr>
            <w:tcW w:w="2717" w:type="dxa"/>
          </w:tcPr>
          <w:p w:rsidR="00FB4703" w:rsidRPr="00090E4E" w:rsidRDefault="00FB4703" w:rsidP="00FB4703">
            <w:pPr>
              <w:pStyle w:val="Tabele"/>
            </w:pPr>
            <w:r w:rsidRPr="00090E4E">
              <w:t xml:space="preserve"> 2 703  milionë lekë</w:t>
            </w:r>
          </w:p>
        </w:tc>
      </w:tr>
      <w:tr w:rsidR="00FB4703" w:rsidRPr="00E40800">
        <w:trPr>
          <w:jc w:val="center"/>
        </w:trPr>
        <w:tc>
          <w:tcPr>
            <w:tcW w:w="5039" w:type="dxa"/>
          </w:tcPr>
          <w:p w:rsidR="00FB4703" w:rsidRPr="00E40800" w:rsidRDefault="00FB4703" w:rsidP="00FB4703">
            <w:pPr>
              <w:pStyle w:val="Tabele"/>
            </w:pPr>
            <w:r w:rsidRPr="00E40800">
              <w:t>Shpenzimet</w:t>
            </w:r>
          </w:p>
        </w:tc>
        <w:tc>
          <w:tcPr>
            <w:tcW w:w="2717" w:type="dxa"/>
          </w:tcPr>
          <w:p w:rsidR="00FB4703" w:rsidRPr="00090E4E" w:rsidRDefault="00FB4703" w:rsidP="00FB4703">
            <w:pPr>
              <w:pStyle w:val="Tabele"/>
            </w:pPr>
            <w:r w:rsidRPr="00090E4E">
              <w:t xml:space="preserve"> 2 758  milionë lekë</w:t>
            </w:r>
          </w:p>
        </w:tc>
      </w:tr>
    </w:tbl>
    <w:p w:rsidR="00FB4703" w:rsidRPr="00E40800" w:rsidRDefault="00FB4703" w:rsidP="00FB4703">
      <w:pPr>
        <w:pStyle w:val="Paragrafi"/>
        <w:ind w:firstLine="0"/>
      </w:pPr>
    </w:p>
    <w:p w:rsidR="00FB4703" w:rsidRPr="00E40800" w:rsidRDefault="00FB4703" w:rsidP="00FB4703">
      <w:pPr>
        <w:pStyle w:val="Paragrafi"/>
        <w:ind w:firstLine="0"/>
      </w:pPr>
    </w:p>
    <w:p w:rsidR="00FB4703" w:rsidRPr="00E40800" w:rsidRDefault="00FB4703" w:rsidP="00FB4703">
      <w:pPr>
        <w:pStyle w:val="Paragrafi"/>
      </w:pPr>
      <w:r w:rsidRPr="00E40800">
        <w:tab/>
      </w:r>
      <w:r w:rsidRPr="00E40800">
        <w:tab/>
      </w:r>
      <w:r w:rsidRPr="00E40800">
        <w:tab/>
      </w:r>
      <w:r w:rsidRPr="00E40800">
        <w:tab/>
      </w:r>
    </w:p>
    <w:p w:rsidR="00FB4703" w:rsidRPr="00E40800" w:rsidRDefault="00FB4703" w:rsidP="00FB4703">
      <w:pPr>
        <w:pStyle w:val="NeniNr"/>
      </w:pPr>
      <w:r w:rsidRPr="00E40800">
        <w:t>Neni 3</w:t>
      </w:r>
    </w:p>
    <w:p w:rsidR="00FB4703" w:rsidRPr="00E40800" w:rsidRDefault="00FB4703" w:rsidP="00FB4703">
      <w:pPr>
        <w:pStyle w:val="Paragrafi"/>
      </w:pPr>
    </w:p>
    <w:p w:rsidR="00FB4703" w:rsidRPr="00E40800" w:rsidRDefault="00FB4703" w:rsidP="00FB4703">
      <w:pPr>
        <w:pStyle w:val="Paragrafi"/>
        <w:rPr>
          <w:lang w:val="it-IT"/>
        </w:rPr>
      </w:pPr>
      <w:r w:rsidRPr="00E40800">
        <w:rPr>
          <w:lang w:val="it-IT"/>
        </w:rPr>
        <w:lastRenderedPageBreak/>
        <w:t>Buxheti i sigurimeve shëndetësore për vitin 2005 është:</w:t>
      </w:r>
    </w:p>
    <w:p w:rsidR="00FB4703" w:rsidRPr="00E40800" w:rsidRDefault="00FB4703" w:rsidP="00FB4703">
      <w:pPr>
        <w:pStyle w:val="Paragrafi"/>
        <w:rPr>
          <w:lang w:val="it-IT"/>
        </w:rPr>
      </w:pPr>
      <w:r w:rsidRPr="00E40800">
        <w:rPr>
          <w:lang w:val="it-IT"/>
        </w:rPr>
        <w:t>Të ardhurat, gjithsej</w:t>
      </w:r>
      <w:r w:rsidRPr="00E40800">
        <w:rPr>
          <w:lang w:val="it-IT"/>
        </w:rPr>
        <w:tab/>
      </w:r>
      <w:r w:rsidRPr="00E40800">
        <w:rPr>
          <w:lang w:val="it-IT"/>
        </w:rPr>
        <w:tab/>
      </w:r>
      <w:r w:rsidRPr="00E40800">
        <w:rPr>
          <w:lang w:val="it-IT"/>
        </w:rPr>
        <w:tab/>
      </w:r>
      <w:r w:rsidRPr="00E40800">
        <w:rPr>
          <w:lang w:val="it-IT"/>
        </w:rPr>
        <w:tab/>
      </w:r>
      <w:r w:rsidRPr="00E40800">
        <w:rPr>
          <w:lang w:val="it-IT"/>
        </w:rPr>
        <w:tab/>
        <w:t>5 893  milionë lekë</w:t>
      </w:r>
    </w:p>
    <w:p w:rsidR="00FB4703" w:rsidRPr="00E40800" w:rsidRDefault="00FB4703" w:rsidP="00FB4703">
      <w:pPr>
        <w:pStyle w:val="Paragrafi"/>
        <w:rPr>
          <w:lang w:val="it-IT"/>
        </w:rPr>
      </w:pPr>
      <w:r w:rsidRPr="00E40800">
        <w:rPr>
          <w:lang w:val="it-IT"/>
        </w:rPr>
        <w:t>- Nga kontributet dhe të tjera</w:t>
      </w:r>
      <w:r w:rsidRPr="00E40800">
        <w:rPr>
          <w:lang w:val="it-IT"/>
        </w:rPr>
        <w:tab/>
      </w:r>
      <w:r w:rsidRPr="00E40800">
        <w:rPr>
          <w:lang w:val="it-IT"/>
        </w:rPr>
        <w:tab/>
      </w:r>
      <w:r w:rsidRPr="00E40800">
        <w:rPr>
          <w:lang w:val="it-IT"/>
        </w:rPr>
        <w:tab/>
      </w:r>
      <w:r w:rsidRPr="00E40800">
        <w:rPr>
          <w:lang w:val="it-IT"/>
        </w:rPr>
        <w:tab/>
        <w:t>3 343  milionë lekë</w:t>
      </w:r>
    </w:p>
    <w:p w:rsidR="00FB4703" w:rsidRPr="00E40800" w:rsidRDefault="00FB4703" w:rsidP="00FB4703">
      <w:pPr>
        <w:pStyle w:val="Paragrafi"/>
        <w:rPr>
          <w:lang w:val="it-IT"/>
        </w:rPr>
      </w:pPr>
      <w:r w:rsidRPr="00E40800">
        <w:rPr>
          <w:lang w:val="it-IT"/>
        </w:rPr>
        <w:t>- Transferimet nga Buxheti i Shtetit</w:t>
      </w:r>
      <w:r w:rsidRPr="00E40800">
        <w:rPr>
          <w:lang w:val="it-IT"/>
        </w:rPr>
        <w:tab/>
      </w:r>
      <w:r w:rsidRPr="00E40800">
        <w:rPr>
          <w:lang w:val="it-IT"/>
        </w:rPr>
        <w:tab/>
      </w:r>
      <w:r w:rsidRPr="00E40800">
        <w:rPr>
          <w:lang w:val="it-IT"/>
        </w:rPr>
        <w:tab/>
        <w:t>2 550  milionë lekë</w:t>
      </w:r>
    </w:p>
    <w:p w:rsidR="00FB4703" w:rsidRPr="00E40800" w:rsidRDefault="00FB4703" w:rsidP="00FB4703">
      <w:pPr>
        <w:pStyle w:val="Paragrafi"/>
        <w:rPr>
          <w:lang w:val="it-IT"/>
        </w:rPr>
      </w:pPr>
      <w:r w:rsidRPr="00E40800">
        <w:rPr>
          <w:lang w:val="it-IT"/>
        </w:rPr>
        <w:t>Shpenzimet</w:t>
      </w:r>
      <w:r w:rsidRPr="00E40800">
        <w:rPr>
          <w:lang w:val="it-IT"/>
        </w:rPr>
        <w:tab/>
      </w:r>
      <w:r w:rsidRPr="00E40800">
        <w:rPr>
          <w:lang w:val="it-IT"/>
        </w:rPr>
        <w:tab/>
      </w:r>
      <w:r w:rsidRPr="00E40800">
        <w:rPr>
          <w:lang w:val="it-IT"/>
        </w:rPr>
        <w:tab/>
      </w:r>
      <w:r w:rsidRPr="00E40800">
        <w:rPr>
          <w:lang w:val="it-IT"/>
        </w:rPr>
        <w:tab/>
      </w:r>
      <w:r w:rsidRPr="00E40800">
        <w:rPr>
          <w:lang w:val="it-IT"/>
        </w:rPr>
        <w:tab/>
      </w:r>
      <w:r w:rsidRPr="00E40800">
        <w:rPr>
          <w:lang w:val="it-IT"/>
        </w:rPr>
        <w:tab/>
        <w:t>5 893  milionë lekë</w:t>
      </w:r>
    </w:p>
    <w:p w:rsidR="00FB4703" w:rsidRPr="00E40800" w:rsidRDefault="00FB4703" w:rsidP="00FB4703">
      <w:pPr>
        <w:pStyle w:val="Paragrafi"/>
        <w:ind w:firstLine="0"/>
        <w:rPr>
          <w:lang w:val="it-IT"/>
        </w:rPr>
      </w:pPr>
    </w:p>
    <w:p w:rsidR="00FB4703" w:rsidRPr="00E40800" w:rsidRDefault="00FB4703" w:rsidP="00FB4703">
      <w:pPr>
        <w:pStyle w:val="KreuNr"/>
        <w:keepNext w:val="0"/>
        <w:rPr>
          <w:lang w:val="it-IT"/>
        </w:rPr>
      </w:pPr>
      <w:r w:rsidRPr="00E40800">
        <w:rPr>
          <w:lang w:val="it-IT"/>
        </w:rPr>
        <w:t>KREU II</w:t>
      </w:r>
    </w:p>
    <w:p w:rsidR="00FB4703" w:rsidRPr="00E40800" w:rsidRDefault="00FB4703" w:rsidP="00FB4703">
      <w:pPr>
        <w:pStyle w:val="KreuTitull"/>
        <w:keepNext w:val="0"/>
        <w:rPr>
          <w:lang w:val="it-IT"/>
        </w:rPr>
      </w:pPr>
      <w:r w:rsidRPr="00E40800">
        <w:rPr>
          <w:lang w:val="it-IT"/>
        </w:rPr>
        <w:t>BURIMET PËR MBËSHTETJEN E SHPENZIMEVE BUXHETORE</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4</w:t>
      </w:r>
    </w:p>
    <w:p w:rsidR="00FB4703" w:rsidRPr="00E40800" w:rsidRDefault="00FB4703" w:rsidP="00FB4703">
      <w:pPr>
        <w:pStyle w:val="Paragrafi"/>
        <w:rPr>
          <w:lang w:val="it-IT"/>
        </w:rPr>
      </w:pPr>
    </w:p>
    <w:p w:rsidR="00FB4703" w:rsidRDefault="00FB4703" w:rsidP="00FB4703">
      <w:pPr>
        <w:pStyle w:val="Paragrafi"/>
        <w:rPr>
          <w:lang w:val="it-IT"/>
        </w:rPr>
      </w:pPr>
      <w:r w:rsidRPr="00E40800">
        <w:rPr>
          <w:lang w:val="it-IT"/>
        </w:rPr>
        <w:t>Të ardhurat e Buxhetit të Shtetit sipas grupeve kryesore janë:</w:t>
      </w:r>
    </w:p>
    <w:p w:rsidR="00CD0A04" w:rsidRPr="00E40800" w:rsidRDefault="00CD0A04" w:rsidP="00FB4703">
      <w:pPr>
        <w:pStyle w:val="Paragrafi"/>
        <w:rPr>
          <w:lang w:val="it-IT"/>
        </w:rPr>
      </w:pPr>
    </w:p>
    <w:p w:rsidR="00FB4703" w:rsidRPr="00E40800" w:rsidRDefault="00FB4703" w:rsidP="00FB4703">
      <w:pPr>
        <w:pStyle w:val="Paragrafi"/>
        <w:rPr>
          <w:lang w:val="it-IT"/>
        </w:rPr>
      </w:pPr>
      <w:r w:rsidRPr="00E40800">
        <w:rPr>
          <w:lang w:val="it-IT"/>
        </w:rPr>
        <w:t>Grantet</w:t>
      </w:r>
      <w:r w:rsidRPr="00E40800">
        <w:rPr>
          <w:lang w:val="it-IT"/>
        </w:rPr>
        <w:tab/>
        <w:t xml:space="preserve">    </w:t>
      </w:r>
      <w:r w:rsidRPr="00E40800">
        <w:rPr>
          <w:lang w:val="it-IT"/>
        </w:rPr>
        <w:tab/>
      </w:r>
      <w:r w:rsidRPr="00E40800">
        <w:rPr>
          <w:lang w:val="it-IT"/>
        </w:rPr>
        <w:tab/>
      </w:r>
      <w:r w:rsidRPr="00E40800">
        <w:rPr>
          <w:lang w:val="it-IT"/>
        </w:rPr>
        <w:tab/>
      </w:r>
      <w:r w:rsidRPr="00E40800">
        <w:rPr>
          <w:lang w:val="it-IT"/>
        </w:rPr>
        <w:tab/>
      </w:r>
      <w:r w:rsidRPr="00E40800">
        <w:rPr>
          <w:lang w:val="it-IT"/>
        </w:rPr>
        <w:tab/>
        <w:t xml:space="preserve">   </w:t>
      </w:r>
      <w:r w:rsidRPr="00E40800">
        <w:rPr>
          <w:lang w:val="it-IT"/>
        </w:rPr>
        <w:tab/>
        <w:t xml:space="preserve">   6 920   milionë lekë</w:t>
      </w:r>
    </w:p>
    <w:p w:rsidR="00FB4703" w:rsidRPr="00E40800" w:rsidRDefault="00FB4703" w:rsidP="00FB4703">
      <w:pPr>
        <w:pStyle w:val="Paragrafi"/>
        <w:rPr>
          <w:lang w:val="it-IT"/>
        </w:rPr>
      </w:pPr>
      <w:r w:rsidRPr="00E40800">
        <w:rPr>
          <w:lang w:val="it-IT"/>
        </w:rPr>
        <w:t>Të ardhurat tatimore</w:t>
      </w:r>
      <w:r w:rsidRPr="00E40800">
        <w:rPr>
          <w:lang w:val="it-IT"/>
        </w:rPr>
        <w:tab/>
      </w:r>
      <w:r w:rsidRPr="00E40800">
        <w:rPr>
          <w:lang w:val="it-IT"/>
        </w:rPr>
        <w:tab/>
      </w:r>
      <w:r w:rsidRPr="00E40800">
        <w:rPr>
          <w:lang w:val="it-IT"/>
        </w:rPr>
        <w:tab/>
      </w:r>
      <w:r w:rsidRPr="00E40800">
        <w:rPr>
          <w:lang w:val="it-IT"/>
        </w:rPr>
        <w:tab/>
      </w:r>
      <w:r w:rsidRPr="00E40800">
        <w:rPr>
          <w:lang w:val="it-IT"/>
        </w:rPr>
        <w:tab/>
        <w:t>135 222   milionë lekë</w:t>
      </w:r>
    </w:p>
    <w:p w:rsidR="00FB4703" w:rsidRPr="00E40800" w:rsidRDefault="00FB4703" w:rsidP="00FB4703">
      <w:pPr>
        <w:pStyle w:val="Paragrafi"/>
        <w:rPr>
          <w:lang w:val="it-IT"/>
        </w:rPr>
      </w:pPr>
      <w:r w:rsidRPr="00E40800">
        <w:rPr>
          <w:lang w:val="it-IT"/>
        </w:rPr>
        <w:t>Të ardhurat jotatimore</w:t>
      </w:r>
      <w:r w:rsidRPr="00E40800">
        <w:rPr>
          <w:lang w:val="it-IT"/>
        </w:rPr>
        <w:tab/>
        <w:t xml:space="preserve">  </w:t>
      </w:r>
      <w:r w:rsidRPr="00E40800">
        <w:rPr>
          <w:lang w:val="it-IT"/>
        </w:rPr>
        <w:tab/>
      </w:r>
      <w:r w:rsidRPr="00E40800">
        <w:rPr>
          <w:lang w:val="it-IT"/>
        </w:rPr>
        <w:tab/>
      </w:r>
      <w:r w:rsidRPr="00E40800">
        <w:rPr>
          <w:lang w:val="it-IT"/>
        </w:rPr>
        <w:tab/>
      </w:r>
      <w:r w:rsidRPr="00E40800">
        <w:rPr>
          <w:lang w:val="it-IT"/>
        </w:rPr>
        <w:tab/>
        <w:t xml:space="preserve"> 17 357    milionë lekë</w:t>
      </w:r>
    </w:p>
    <w:p w:rsidR="00FB4703" w:rsidRPr="00E40800" w:rsidRDefault="00FB4703" w:rsidP="00FB4703">
      <w:pPr>
        <w:pStyle w:val="Paragrafi"/>
        <w:rPr>
          <w:lang w:val="it-IT"/>
        </w:rPr>
      </w:pPr>
      <w:r w:rsidRPr="00E40800">
        <w:rPr>
          <w:lang w:val="it-IT"/>
        </w:rPr>
        <w:t>Të ardhurat e buxhetit vendor</w:t>
      </w:r>
      <w:r w:rsidRPr="00E40800">
        <w:rPr>
          <w:lang w:val="it-IT"/>
        </w:rPr>
        <w:tab/>
        <w:t xml:space="preserve">  </w:t>
      </w:r>
      <w:r w:rsidRPr="00E40800">
        <w:rPr>
          <w:lang w:val="it-IT"/>
        </w:rPr>
        <w:tab/>
      </w:r>
      <w:r w:rsidRPr="00E40800">
        <w:rPr>
          <w:lang w:val="it-IT"/>
        </w:rPr>
        <w:tab/>
      </w:r>
      <w:r w:rsidRPr="00E40800">
        <w:rPr>
          <w:lang w:val="it-IT"/>
        </w:rPr>
        <w:tab/>
        <w:t xml:space="preserve"> 10 355    milionë lekë</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5</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Kufiri i financimit të deficitit të buxhetit të përgjithshëm nga burime të brendshme është 28 313 milionë lekë, nga i cili 4 951 milionë lekë financohen nga të ardhurat e privatizimit. Në rast mosrealizimi të të ardhurave të buxhetit dhe të ardhurave nga privatizimi, huamarrja për financimin e deficitit të brendshëm prej 23 362 milionë lekësh nuk ndryshon. Këshilli i Ministrave merr masa për kompensimin e diferencave nga burime suplementare ose nga shkurtimi i shpenzimeve.</w:t>
      </w:r>
    </w:p>
    <w:p w:rsidR="00FB4703" w:rsidRPr="00E40800" w:rsidRDefault="00FB4703" w:rsidP="00FB4703">
      <w:pPr>
        <w:pStyle w:val="Paragrafi"/>
        <w:rPr>
          <w:lang w:val="it-IT"/>
        </w:rPr>
      </w:pPr>
      <w:r w:rsidRPr="00E40800">
        <w:rPr>
          <w:lang w:val="it-IT"/>
        </w:rPr>
        <w:t>Kufiri i financimit nga burimet e huaja është 13 844 milionë lekë, nga i cili mbështetja e drejtpërdrejtë për deficitin është 1 080 milionë lekë.</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6</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Disbalancimi i mundshëm gjatë vitit i buxhetit të sigurimeve shoqërore dhe shëndetësore financohet nga fondi i garantimit të pensioneve të ISSH-së dhe fondi rezervë i ISKSH-së.</w:t>
      </w:r>
    </w:p>
    <w:p w:rsidR="00FB4703" w:rsidRPr="00E40800" w:rsidRDefault="00FB4703" w:rsidP="00FB4703">
      <w:pPr>
        <w:pStyle w:val="Paragrafi"/>
        <w:ind w:firstLine="0"/>
        <w:rPr>
          <w:lang w:val="it-IT"/>
        </w:rPr>
      </w:pPr>
    </w:p>
    <w:p w:rsidR="00FB4703" w:rsidRPr="00E40800" w:rsidRDefault="00FB4703" w:rsidP="00FB4703">
      <w:pPr>
        <w:pStyle w:val="KreuNr"/>
        <w:keepNext w:val="0"/>
        <w:rPr>
          <w:lang w:val="it-IT"/>
        </w:rPr>
      </w:pPr>
      <w:r w:rsidRPr="00E40800">
        <w:rPr>
          <w:lang w:val="it-IT"/>
        </w:rPr>
        <w:t xml:space="preserve">KREU III </w:t>
      </w:r>
    </w:p>
    <w:p w:rsidR="00FB4703" w:rsidRPr="00E40800" w:rsidRDefault="00FB4703" w:rsidP="00FB4703">
      <w:pPr>
        <w:pStyle w:val="KreuTitull"/>
        <w:keepNext w:val="0"/>
        <w:rPr>
          <w:lang w:val="it-IT"/>
        </w:rPr>
      </w:pPr>
      <w:r w:rsidRPr="00E40800">
        <w:rPr>
          <w:lang w:val="it-IT"/>
        </w:rPr>
        <w:t>SHPENZIMET E BUXHETIT TË SHTETIT</w:t>
      </w:r>
    </w:p>
    <w:p w:rsidR="00FB4703" w:rsidRPr="00E40800" w:rsidRDefault="00FB4703" w:rsidP="00FB4703">
      <w:pPr>
        <w:pStyle w:val="Paragrafi"/>
        <w:rPr>
          <w:lang w:val="it-IT"/>
        </w:rPr>
      </w:pPr>
    </w:p>
    <w:p w:rsidR="00FB4703" w:rsidRPr="00E40800" w:rsidRDefault="00FB4703" w:rsidP="00FB4703">
      <w:pPr>
        <w:pStyle w:val="NeniNr"/>
        <w:keepNext w:val="0"/>
      </w:pPr>
      <w:r w:rsidRPr="00E40800">
        <w:t>Neni 7</w:t>
      </w:r>
    </w:p>
    <w:p w:rsidR="00FB4703" w:rsidRPr="00E40800" w:rsidRDefault="00FB4703" w:rsidP="00FB4703">
      <w:pPr>
        <w:pStyle w:val="Paragrafi"/>
      </w:pPr>
    </w:p>
    <w:p w:rsidR="00FB4703" w:rsidRPr="00E40800" w:rsidRDefault="00FB4703" w:rsidP="00FB4703">
      <w:pPr>
        <w:pStyle w:val="Paragrafi"/>
      </w:pPr>
      <w:r w:rsidRPr="00E40800">
        <w:t>Shpenzimet sipas drejtimeve kryesore janë:</w:t>
      </w:r>
    </w:p>
    <w:p w:rsidR="00FB4703" w:rsidRPr="00E40800" w:rsidRDefault="00FB4703" w:rsidP="00FB4703">
      <w:pPr>
        <w:pStyle w:val="Paragrafi"/>
        <w:rPr>
          <w:lang w:val="it-IT"/>
        </w:rPr>
      </w:pPr>
      <w:r w:rsidRPr="00E40800">
        <w:rPr>
          <w:lang w:val="it-IT"/>
        </w:rPr>
        <w:t>Shpenzimet korrente</w:t>
      </w:r>
      <w:r w:rsidRPr="00E40800">
        <w:rPr>
          <w:lang w:val="it-IT"/>
        </w:rPr>
        <w:tab/>
      </w:r>
      <w:r w:rsidRPr="00E40800">
        <w:rPr>
          <w:lang w:val="it-IT"/>
        </w:rPr>
        <w:tab/>
      </w:r>
      <w:r w:rsidRPr="00E40800">
        <w:rPr>
          <w:lang w:val="it-IT"/>
        </w:rPr>
        <w:tab/>
      </w:r>
      <w:r w:rsidRPr="00E40800">
        <w:rPr>
          <w:lang w:val="it-IT"/>
        </w:rPr>
        <w:tab/>
      </w:r>
      <w:r w:rsidRPr="00E40800">
        <w:rPr>
          <w:lang w:val="it-IT"/>
        </w:rPr>
        <w:tab/>
        <w:t>156 396  milionë lekë</w:t>
      </w:r>
    </w:p>
    <w:p w:rsidR="00FB4703" w:rsidRPr="00E40800" w:rsidRDefault="00FB4703" w:rsidP="00FB4703">
      <w:pPr>
        <w:pStyle w:val="Paragrafi"/>
        <w:rPr>
          <w:lang w:val="it-IT"/>
        </w:rPr>
      </w:pPr>
      <w:r w:rsidRPr="00E40800">
        <w:rPr>
          <w:lang w:val="it-IT"/>
        </w:rPr>
        <w:t>Shpenzimet kapitale</w:t>
      </w:r>
      <w:r w:rsidRPr="00E40800">
        <w:rPr>
          <w:lang w:val="it-IT"/>
        </w:rPr>
        <w:tab/>
        <w:t xml:space="preserve"> </w:t>
      </w:r>
      <w:r w:rsidRPr="00E40800">
        <w:rPr>
          <w:lang w:val="it-IT"/>
        </w:rPr>
        <w:tab/>
      </w:r>
      <w:r w:rsidRPr="00E40800">
        <w:rPr>
          <w:lang w:val="it-IT"/>
        </w:rPr>
        <w:tab/>
      </w:r>
      <w:r w:rsidRPr="00E40800">
        <w:rPr>
          <w:lang w:val="it-IT"/>
        </w:rPr>
        <w:tab/>
        <w:t xml:space="preserve"> </w:t>
      </w:r>
      <w:r w:rsidRPr="00E40800">
        <w:rPr>
          <w:lang w:val="it-IT"/>
        </w:rPr>
        <w:tab/>
        <w:t xml:space="preserve">  50 515  milionë lekë</w:t>
      </w:r>
    </w:p>
    <w:p w:rsidR="00FB4703" w:rsidRPr="00E40800" w:rsidRDefault="00FB4703" w:rsidP="00FB4703">
      <w:pPr>
        <w:pStyle w:val="Paragrafi"/>
        <w:rPr>
          <w:lang w:val="it-IT"/>
        </w:rPr>
      </w:pPr>
      <w:r w:rsidRPr="00E40800">
        <w:rPr>
          <w:lang w:val="it-IT"/>
        </w:rPr>
        <w:t>Rezerva e Këshillit të Ministrave</w:t>
      </w:r>
      <w:r w:rsidRPr="00E40800">
        <w:rPr>
          <w:lang w:val="it-IT"/>
        </w:rPr>
        <w:tab/>
        <w:t xml:space="preserve">   </w:t>
      </w:r>
      <w:r w:rsidRPr="00E40800">
        <w:rPr>
          <w:lang w:val="it-IT"/>
        </w:rPr>
        <w:tab/>
        <w:t xml:space="preserve">    </w:t>
      </w:r>
      <w:r w:rsidRPr="00E40800">
        <w:rPr>
          <w:lang w:val="it-IT"/>
        </w:rPr>
        <w:tab/>
        <w:t xml:space="preserve">    1 000  milionë lekë</w:t>
      </w:r>
    </w:p>
    <w:p w:rsidR="00FB4703" w:rsidRPr="00E40800" w:rsidRDefault="00FB4703" w:rsidP="00FB4703">
      <w:pPr>
        <w:pStyle w:val="Paragrafi"/>
        <w:rPr>
          <w:lang w:val="it-IT"/>
        </w:rPr>
      </w:pPr>
      <w:r w:rsidRPr="00E40800">
        <w:rPr>
          <w:lang w:val="it-IT"/>
        </w:rPr>
        <w:t>Kontingjenca</w:t>
      </w:r>
      <w:r w:rsidRPr="00E40800">
        <w:rPr>
          <w:lang w:val="it-IT"/>
        </w:rPr>
        <w:tab/>
        <w:t xml:space="preserve">   </w:t>
      </w:r>
      <w:r w:rsidRPr="00E40800">
        <w:rPr>
          <w:lang w:val="it-IT"/>
        </w:rPr>
        <w:tab/>
      </w:r>
      <w:r w:rsidRPr="00E40800">
        <w:rPr>
          <w:lang w:val="it-IT"/>
        </w:rPr>
        <w:tab/>
      </w:r>
      <w:r w:rsidRPr="00E40800">
        <w:rPr>
          <w:lang w:val="it-IT"/>
        </w:rPr>
        <w:tab/>
      </w:r>
      <w:r w:rsidRPr="00E40800">
        <w:rPr>
          <w:lang w:val="it-IT"/>
        </w:rPr>
        <w:tab/>
        <w:t xml:space="preserve">    </w:t>
      </w:r>
      <w:r w:rsidRPr="00E40800">
        <w:rPr>
          <w:lang w:val="it-IT"/>
        </w:rPr>
        <w:tab/>
        <w:t xml:space="preserve">    4 100  milionë lekë</w:t>
      </w:r>
    </w:p>
    <w:p w:rsidR="00FB4703" w:rsidRPr="00E40800" w:rsidRDefault="00FB4703" w:rsidP="00FB4703">
      <w:pPr>
        <w:pStyle w:val="Paragrafi"/>
        <w:rPr>
          <w:lang w:val="it-IT"/>
        </w:rPr>
      </w:pPr>
      <w:r w:rsidRPr="00E40800">
        <w:rPr>
          <w:lang w:val="it-IT"/>
        </w:rPr>
        <w:tab/>
      </w:r>
      <w:r w:rsidRPr="00E40800">
        <w:rPr>
          <w:lang w:val="it-IT"/>
        </w:rPr>
        <w:tab/>
      </w:r>
    </w:p>
    <w:p w:rsidR="00FB4703" w:rsidRPr="00E40800" w:rsidRDefault="00FB4703" w:rsidP="00FB4703">
      <w:pPr>
        <w:pStyle w:val="Paragrafi"/>
        <w:rPr>
          <w:lang w:val="it-IT"/>
        </w:rPr>
      </w:pPr>
      <w:r w:rsidRPr="00E40800">
        <w:rPr>
          <w:lang w:val="it-IT"/>
        </w:rPr>
        <w:t>Kufiri i shpenzimeve për çdo ministri dhe institucion, i ndarë në fonde të kushtëzuara dhe të pakushtëzuara, është sipas tabelës 1, që i bashkëlidhet këtij ligji. Për institucionet e pavaruara nga Këshilli i Ministrave kufiri i shpenzimeve, numri i punonjësve dhe fondi i pagave është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A2F60" w:rsidRDefault="00FA2F60" w:rsidP="00FB4703">
      <w:pPr>
        <w:pStyle w:val="NeniNr"/>
        <w:keepNext w:val="0"/>
        <w:rPr>
          <w:lang w:val="it-IT"/>
        </w:rPr>
      </w:pPr>
    </w:p>
    <w:p w:rsidR="00FB4703" w:rsidRPr="00E40800" w:rsidRDefault="00FB4703" w:rsidP="00FB4703">
      <w:pPr>
        <w:pStyle w:val="NeniNr"/>
        <w:keepNext w:val="0"/>
        <w:rPr>
          <w:lang w:val="it-IT"/>
        </w:rPr>
      </w:pPr>
      <w:r w:rsidRPr="00E40800">
        <w:rPr>
          <w:lang w:val="it-IT"/>
        </w:rPr>
        <w:t>Neni 8</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lastRenderedPageBreak/>
        <w:t>Numri maksimal i punonjësve buxhetorë më 1 janar 2005, sipas të cilit është përgatitur Buxheti i Shtetit i vitit 2005, është 110 000 punonjës. Ngarkohet Këshilli i Ministrave të përcaktojë numrin e punonjësve buxhetorë për çdo ministri dhe institucion qendror, me përjashtim të numrit të punonjësve të institucioneve të pavarura, që përcaktohen në tabelën 1/1, që i bashkëlidhet këtij ligji. Fondi i pagave i pashpërndarë përdoret për rritjen e diferencuar të pagave dhe mbështetjen e reformave në sistemin e pagave me vendim të Këshillit të Ministrave.</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9</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Shpenzimet kapitale nga burimet e brendshme janë  27 955 milionë lekë dhe nga burimet e huaja  22 560 milionë lekë. Investimet, sipas programeve, për çdo ministri dhe institucion qendror paraqiten në tabelën 2, që i bashkëlidhet këtij ligji.</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10</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Fondi i kontingjencës prej 4 100 milionë lekësh të përdoret:</w:t>
      </w:r>
    </w:p>
    <w:p w:rsidR="00FB4703" w:rsidRPr="00E40800" w:rsidRDefault="00FB4703" w:rsidP="00FB4703">
      <w:pPr>
        <w:pStyle w:val="Paragrafi"/>
        <w:rPr>
          <w:lang w:val="it-IT"/>
        </w:rPr>
      </w:pPr>
      <w:r w:rsidRPr="00E40800">
        <w:rPr>
          <w:lang w:val="it-IT"/>
        </w:rPr>
        <w:t>- për ruajtjen e deficitit, me miratimin e Kuvendit të Republikës së Shqipërisë, 2 000 milionë lekë;</w:t>
      </w:r>
    </w:p>
    <w:p w:rsidR="00FB4703" w:rsidRPr="00E40800" w:rsidRDefault="00FB4703" w:rsidP="00FB4703">
      <w:pPr>
        <w:pStyle w:val="Paragrafi"/>
        <w:rPr>
          <w:lang w:val="it-IT"/>
        </w:rPr>
      </w:pPr>
      <w:r w:rsidRPr="00E40800">
        <w:rPr>
          <w:lang w:val="it-IT"/>
        </w:rPr>
        <w:t>- për shlyerjen e detyrimeve të vjetra të ndërmarrjeve publike, me vendim të Këshillit të Ministrave, 1 500 milionë lekë;</w:t>
      </w:r>
    </w:p>
    <w:p w:rsidR="00FB4703" w:rsidRPr="00E40800" w:rsidRDefault="00FB4703" w:rsidP="00FB4703">
      <w:pPr>
        <w:pStyle w:val="Paragrafi"/>
        <w:rPr>
          <w:lang w:val="it-IT"/>
        </w:rPr>
      </w:pPr>
      <w:r w:rsidRPr="00E40800">
        <w:rPr>
          <w:lang w:val="it-IT"/>
        </w:rPr>
        <w:t>- për zgjedhjet parlamentare, me vendim të Këshillit të Ministrave, 600 milionë lekë.</w:t>
      </w:r>
    </w:p>
    <w:p w:rsidR="00FB4703" w:rsidRPr="00E40800" w:rsidRDefault="00FB4703" w:rsidP="00FB4703">
      <w:pPr>
        <w:pStyle w:val="Paragrafi"/>
        <w:rPr>
          <w:lang w:val="it-IT"/>
        </w:rPr>
      </w:pPr>
      <w:r w:rsidRPr="00E40800">
        <w:rPr>
          <w:lang w:val="it-IT"/>
        </w:rPr>
        <w:t>Fondi rezervë i Këshillit të Ministrave përdoret për raste të paparashikuara dhe emergjente dhe jo për veprimarinë normale të institucioneve buxhetore.</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11</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Në fondet e kushtëzuara përfshihen shpenzimet për investime, me burim financimet e huaja, dhe shpenzimet nga të ardhurat, që, me ligj ose me akte të tjera nënligjore, u përkasin ministrive dhe institucioneve të tjera buxhetore. Fondet e kushtëzuara, me përjashtim të financimeve të huaja, përdoren brenda vitit buxhetor.</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12</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Fondet buxhetore për pushtetin gjyqësor paraqiten sipas tabelës 3,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3, që i bashkëlidhet këtij ligji.</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13</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Transfertat e pakushtëzuara, që Buxheti Qendror ia transferon pushtetit vendor, përfshijnë fondet për përballimin e veprimtarive dhe të funksioneve, që përcaktohen në aktet ligjore dhe nënligjore në fuqi.</w:t>
      </w:r>
    </w:p>
    <w:p w:rsidR="00FB4703" w:rsidRPr="00E40800" w:rsidRDefault="00FB4703" w:rsidP="00FB4703">
      <w:pPr>
        <w:pStyle w:val="Paragrafi"/>
        <w:rPr>
          <w:lang w:val="it-IT"/>
        </w:rPr>
      </w:pPr>
      <w:r w:rsidRPr="00E40800">
        <w:rPr>
          <w:lang w:val="it-IT"/>
        </w:rPr>
        <w:t>Transfertat e pakushtëzuara shpërndahen ndërmjet organeve të pushtetit vendor, sipas formulës së paraqitur në aneksin 1, që i bashkëlidhet këtij ligji. Fondi rezervë, nga totali i transfertës së pakushtëzuar dhe granti ekualizues, përdoret nga Ministria e Pushtetit Vendor dhe e Decentralizimit dhe Ministria e Financave, në përputhje me kriteret e përcaktuara në aneksin 2, që i bashkëlidhet këtij ligji. Shuma e transfertës së pakushtëzuar për çdo organ të pushtetit vendor është paraqitur në tabelën 4, që i bashkëlidhet këtij ligji. Mënyra e financimit të funksioneve të përbashkëta në sektorin e arsimit, të shëndetësisë, çështjeve sociale dhe shërbimeve publike jepet në aneksin 3 dhe fondet për investime në sektorët e arsimit dhe të shëndetësisë jepen në aneksin 3/1, që i bashkëlidhet këtij ligji.</w:t>
      </w:r>
    </w:p>
    <w:p w:rsidR="00FB4703" w:rsidRPr="00E40800" w:rsidRDefault="00FB4703" w:rsidP="00FB4703">
      <w:pPr>
        <w:pStyle w:val="Paragrafi"/>
        <w:rPr>
          <w:lang w:val="it-IT"/>
        </w:rPr>
      </w:pPr>
      <w:r w:rsidRPr="00E40800">
        <w:rPr>
          <w:lang w:val="it-IT"/>
        </w:rPr>
        <w:t xml:space="preserve">Fondet që, sipas këtij neni, u vihen në dispozicion organeve të pushtetit vendor, fondet e tjera që, me akte të tjera ligjore dhe nënligjore, u kalojnë organeve të pushtetit vendor dhe vendimet e </w:t>
      </w:r>
      <w:r w:rsidRPr="00E40800">
        <w:rPr>
          <w:lang w:val="it-IT"/>
        </w:rPr>
        <w:lastRenderedPageBreak/>
        <w:t>këshillave të organeve të pushtetit vendor, që kanë lidhje me përdorimin e fondeve buxhetore, bëhen publike.</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14</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 xml:space="preserve">Kufiri i shpenzimeve, sipas pasqyrave 1, 1/1 dhe 2, që i bashkëlidhen këtij ligji, mund të rishpërndahet gjatë vitit ndërmjet ministrive/programeve nga Këshilli i Ministrave deri në masën 5 për qind të çdo shume të paraqitur në këto tabela. </w:t>
      </w:r>
    </w:p>
    <w:p w:rsidR="00FB4703" w:rsidRPr="00E40800" w:rsidRDefault="00FB4703" w:rsidP="00FB4703">
      <w:pPr>
        <w:pStyle w:val="Paragrafi"/>
        <w:ind w:firstLine="0"/>
        <w:rPr>
          <w:lang w:val="it-IT"/>
        </w:rPr>
      </w:pPr>
    </w:p>
    <w:p w:rsidR="00FB4703" w:rsidRPr="00E40800" w:rsidRDefault="00FB4703" w:rsidP="00FB4703">
      <w:pPr>
        <w:pStyle w:val="NeniNr"/>
        <w:keepNext w:val="0"/>
        <w:rPr>
          <w:lang w:val="it-IT"/>
        </w:rPr>
      </w:pPr>
      <w:r w:rsidRPr="00E40800">
        <w:rPr>
          <w:lang w:val="it-IT"/>
        </w:rPr>
        <w:t>Neni 15</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Kufiri për rritjen vjetore të totalit ekzistues të borxhit të shtetit dhe atij të garantuar të shtetit, në dobi të palëve të treta përfituese, për vitin 2005 është 62 781 milionë lekë, i detajuar si më poshtë:</w:t>
      </w:r>
    </w:p>
    <w:p w:rsidR="00FB4703" w:rsidRPr="00E40800" w:rsidRDefault="00FB4703" w:rsidP="00FB4703">
      <w:pPr>
        <w:pStyle w:val="Paragrafi"/>
        <w:rPr>
          <w:lang w:val="it-IT"/>
        </w:rPr>
      </w:pPr>
      <w:r w:rsidRPr="00E40800">
        <w:rPr>
          <w:lang w:val="it-IT"/>
        </w:rPr>
        <w:t>1. Kufiri për rritjen vjetore të totalit ekzistues të borxhit të shtetit, si rezultat i zbatimit të  buxhetit të vitit 2005, është  37 721  milionë lekë, nga i cili:</w:t>
      </w:r>
    </w:p>
    <w:p w:rsidR="00FB4703" w:rsidRPr="00E40800" w:rsidRDefault="00FB4703" w:rsidP="00FB4703">
      <w:pPr>
        <w:pStyle w:val="Paragrafi"/>
        <w:rPr>
          <w:lang w:val="it-IT"/>
        </w:rPr>
      </w:pPr>
      <w:r w:rsidRPr="00E40800">
        <w:rPr>
          <w:lang w:val="it-IT"/>
        </w:rPr>
        <w:t>- për kreditë e jashtme, të drejtpërdrejta, të Këshillit të Ministrave është 14 358   milionë lekë;</w:t>
      </w:r>
    </w:p>
    <w:p w:rsidR="00FB4703" w:rsidRPr="00E40800" w:rsidRDefault="00FB4703" w:rsidP="00FB4703">
      <w:pPr>
        <w:pStyle w:val="Paragrafi"/>
        <w:rPr>
          <w:lang w:val="it-IT"/>
        </w:rPr>
      </w:pPr>
      <w:r w:rsidRPr="00E40800">
        <w:rPr>
          <w:lang w:val="it-IT"/>
        </w:rPr>
        <w:t>- për financimin e brendshëm të deficitit buxhetor është 23 362 milionë lekë.</w:t>
      </w:r>
    </w:p>
    <w:p w:rsidR="00FB4703" w:rsidRPr="00E40800" w:rsidRDefault="00FB4703" w:rsidP="00FB4703">
      <w:pPr>
        <w:pStyle w:val="Paragrafi"/>
        <w:rPr>
          <w:lang w:val="it-IT"/>
        </w:rPr>
      </w:pPr>
      <w:r w:rsidRPr="00E40800">
        <w:rPr>
          <w:lang w:val="it-IT"/>
        </w:rPr>
        <w:t>2. Kufiri për rritjen vjetore të garancive të shtetit në dobi të palëve të treta përfituese është  9 904  milionë lekë.</w:t>
      </w:r>
    </w:p>
    <w:p w:rsidR="00FB4703" w:rsidRPr="00E40800" w:rsidRDefault="00FB4703" w:rsidP="00FB4703">
      <w:pPr>
        <w:pStyle w:val="Paragrafi"/>
        <w:rPr>
          <w:lang w:val="it-IT"/>
        </w:rPr>
      </w:pPr>
      <w:r w:rsidRPr="00E40800">
        <w:rPr>
          <w:lang w:val="it-IT"/>
        </w:rPr>
        <w:t>3. Kufiri për rritjen vjetore të stokut të borxhit, si rezultat i riskedulimit të borxheve të vjetra të jashtme të papaguara, është 3 656   milionë lekë.</w:t>
      </w:r>
    </w:p>
    <w:p w:rsidR="00FB4703" w:rsidRPr="00E40800" w:rsidRDefault="00FB4703" w:rsidP="00FB4703">
      <w:pPr>
        <w:pStyle w:val="Paragrafi"/>
        <w:rPr>
          <w:lang w:val="it-IT"/>
        </w:rPr>
      </w:pPr>
      <w:r w:rsidRPr="00E40800">
        <w:rPr>
          <w:lang w:val="it-IT"/>
        </w:rPr>
        <w:t>4. Kufiri për rritjen vjetore të stokut të borxhit, si rezultat i mbulimit të diferencave nga rivlerësimi i valutave, është 11 500 milionë lekë, i cili emetohet në përputhje me shumat e rezultuara pas certifikimit të bilancit të Bankës së Shqipërisë.</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16</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Ngarkohet Ministria e Financave të nxjerrë udhëzime për zbatimin e këtij ligji.</w:t>
      </w:r>
    </w:p>
    <w:p w:rsidR="00FB4703" w:rsidRPr="00E40800" w:rsidRDefault="00FB4703" w:rsidP="00FB4703">
      <w:pPr>
        <w:pStyle w:val="Paragrafi"/>
        <w:rPr>
          <w:lang w:val="it-IT"/>
        </w:rPr>
      </w:pPr>
    </w:p>
    <w:p w:rsidR="00FB4703" w:rsidRPr="00E40800" w:rsidRDefault="00FB4703" w:rsidP="00FB4703">
      <w:pPr>
        <w:pStyle w:val="NeniNr"/>
        <w:keepNext w:val="0"/>
        <w:rPr>
          <w:lang w:val="it-IT"/>
        </w:rPr>
      </w:pPr>
      <w:r w:rsidRPr="00E40800">
        <w:rPr>
          <w:lang w:val="it-IT"/>
        </w:rPr>
        <w:t>Neni 17</w:t>
      </w:r>
    </w:p>
    <w:p w:rsidR="00FB4703" w:rsidRPr="00E40800" w:rsidRDefault="00FB4703" w:rsidP="00FB4703">
      <w:pPr>
        <w:pStyle w:val="Paragrafi"/>
        <w:rPr>
          <w:lang w:val="it-IT"/>
        </w:rPr>
      </w:pPr>
    </w:p>
    <w:p w:rsidR="00FB4703" w:rsidRPr="00E40800" w:rsidRDefault="00FB4703" w:rsidP="00FB4703">
      <w:pPr>
        <w:pStyle w:val="Paragrafi"/>
        <w:rPr>
          <w:lang w:val="it-IT"/>
        </w:rPr>
      </w:pPr>
      <w:r w:rsidRPr="00E40800">
        <w:rPr>
          <w:lang w:val="it-IT"/>
        </w:rPr>
        <w:t>Ky ligj hyn në fuqi 15 ditë pas botimit në Fletoren Zyrtare dhe i shtrin efektet financiare nga data 1 janar 2005.</w:t>
      </w:r>
    </w:p>
    <w:p w:rsidR="00FB4703" w:rsidRPr="00E40800" w:rsidRDefault="00FB4703" w:rsidP="00FB4703">
      <w:pPr>
        <w:pStyle w:val="Paragrafi"/>
        <w:rPr>
          <w:lang w:val="it-IT"/>
        </w:rPr>
      </w:pPr>
    </w:p>
    <w:p w:rsidR="00FB4703" w:rsidRPr="00E40800" w:rsidRDefault="00FB4703" w:rsidP="00FB4703">
      <w:pPr>
        <w:pStyle w:val="Shpallja"/>
        <w:rPr>
          <w:sz w:val="23"/>
          <w:szCs w:val="23"/>
        </w:rPr>
      </w:pPr>
      <w:r w:rsidRPr="00E40800">
        <w:rPr>
          <w:sz w:val="23"/>
          <w:szCs w:val="23"/>
        </w:rPr>
        <w:t>Shpallur me dekretin nr.4442, datë 31.12.2004 të Presidentit të Republikës së Shqipërisë, Alfred Moisiu</w:t>
      </w: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Aneksi"/>
      </w:pPr>
      <w:r w:rsidRPr="00E40800">
        <w:t>ANEKS 1</w:t>
      </w:r>
    </w:p>
    <w:p w:rsidR="00FB4703" w:rsidRPr="00E40800" w:rsidRDefault="00FB4703" w:rsidP="00FB4703">
      <w:pPr>
        <w:pStyle w:val="Paragrafi"/>
        <w:rPr>
          <w:lang w:val="sq-AL"/>
        </w:rPr>
      </w:pPr>
    </w:p>
    <w:p w:rsidR="00FB4703" w:rsidRPr="00E40800" w:rsidRDefault="00FB4703" w:rsidP="00FB4703">
      <w:pPr>
        <w:pStyle w:val="AneksiTitull"/>
      </w:pPr>
      <w:r w:rsidRPr="00E40800">
        <w:t>FORMULA E TRANSFERTËS SË PAKUSHTËZUAR - KRITERET DHE KOEFICIENTËT</w:t>
      </w:r>
    </w:p>
    <w:p w:rsidR="00FB4703" w:rsidRPr="00E40800" w:rsidRDefault="00FB4703" w:rsidP="00FB4703">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FB4703" w:rsidRPr="00E40800">
        <w:tblPrEx>
          <w:tblCellMar>
            <w:top w:w="0" w:type="dxa"/>
            <w:bottom w:w="0" w:type="dxa"/>
          </w:tblCellMar>
        </w:tblPrEx>
        <w:trPr>
          <w:tblHeader/>
          <w:jc w:val="cent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FB4703" w:rsidRPr="00E40800" w:rsidRDefault="00FB4703" w:rsidP="00FB4703">
            <w:pPr>
              <w:pStyle w:val="Tabele"/>
            </w:pPr>
          </w:p>
          <w:p w:rsidR="00FB4703" w:rsidRPr="00E40800" w:rsidRDefault="00FB4703" w:rsidP="00FB4703">
            <w:pPr>
              <w:pStyle w:val="Tabele"/>
            </w:pPr>
            <w:r w:rsidRPr="00E40800">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FB4703" w:rsidRPr="00E40800" w:rsidRDefault="00FB4703" w:rsidP="00FB4703">
            <w:pPr>
              <w:pStyle w:val="Tabele"/>
            </w:pPr>
          </w:p>
          <w:p w:rsidR="00FB4703" w:rsidRPr="00E40800" w:rsidRDefault="00FB4703" w:rsidP="00FB4703">
            <w:pPr>
              <w:pStyle w:val="Tabele"/>
            </w:pPr>
            <w:r w:rsidRPr="00E40800">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FB4703" w:rsidRPr="00E40800" w:rsidRDefault="00FB4703" w:rsidP="00FB4703">
            <w:pPr>
              <w:pStyle w:val="Tabele"/>
            </w:pPr>
            <w:r w:rsidRPr="00E40800">
              <w:t>Vlera</w:t>
            </w:r>
          </w:p>
          <w:p w:rsidR="00FB4703" w:rsidRPr="00E40800" w:rsidRDefault="00FB4703" w:rsidP="00FB4703">
            <w:pPr>
              <w:pStyle w:val="Tabele"/>
            </w:pPr>
            <w:r w:rsidRPr="00E40800">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FB4703" w:rsidRPr="00E40800" w:rsidRDefault="00FB4703" w:rsidP="00FB4703">
            <w:pPr>
              <w:pStyle w:val="Tabele"/>
            </w:pPr>
          </w:p>
          <w:p w:rsidR="00FB4703" w:rsidRPr="00E40800" w:rsidRDefault="00FB4703" w:rsidP="00FB4703">
            <w:pPr>
              <w:pStyle w:val="Tabele"/>
            </w:pPr>
            <w:r w:rsidRPr="00E40800">
              <w:t>Arsyeja themelore</w:t>
            </w:r>
          </w:p>
        </w:tc>
      </w:tr>
      <w:tr w:rsidR="00FB4703" w:rsidRPr="00E40800">
        <w:tblPrEx>
          <w:tblCellMar>
            <w:top w:w="0" w:type="dxa"/>
            <w:bottom w:w="0" w:type="dxa"/>
          </w:tblCellMar>
        </w:tblPrEx>
        <w:trPr>
          <w:cantSplit/>
          <w:trHeight w:val="353"/>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DF4002" w:rsidRDefault="00FB4703" w:rsidP="00FB4703">
            <w:pPr>
              <w:pStyle w:val="Tabele"/>
            </w:pPr>
            <w:r w:rsidRPr="00DF4002">
              <w:t>1. Alokimi i totalit të Transfertës së Pakushtëzuar (7.3miliard) [TP]</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lastRenderedPageBreak/>
              <w:t>Pjesa e Qarqeve [Q]</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9%</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657.000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Ky raport i alokon Qarqeve fonde të mjaftueshme për shpenzimet e tyre administrative , për mirëmbajtje dhe investime  të rrugëve rurale, për shpenzime të tjera operative.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nil"/>
              <w:right w:val="single" w:sz="4" w:space="0" w:color="auto"/>
            </w:tcBorders>
          </w:tcPr>
          <w:p w:rsidR="00FB4703" w:rsidRPr="00E40800" w:rsidRDefault="00FB4703" w:rsidP="00FB4703">
            <w:pPr>
              <w:pStyle w:val="Tabele"/>
            </w:pPr>
            <w:r w:rsidRPr="00E40800">
              <w:t>Pjesa për Bashkitë/Komunat</w:t>
            </w:r>
          </w:p>
          <w:p w:rsidR="00FB4703" w:rsidRPr="00E40800" w:rsidRDefault="00FB4703" w:rsidP="00FB4703">
            <w:pPr>
              <w:pStyle w:val="Tabele"/>
            </w:pPr>
            <w:r w:rsidRPr="00E40800">
              <w:t>[B/K]</w:t>
            </w:r>
          </w:p>
        </w:tc>
        <w:tc>
          <w:tcPr>
            <w:tcW w:w="1160" w:type="dxa"/>
            <w:tcBorders>
              <w:top w:val="single" w:sz="4" w:space="0" w:color="auto"/>
              <w:left w:val="single" w:sz="4" w:space="0" w:color="auto"/>
              <w:bottom w:val="nil"/>
              <w:right w:val="single" w:sz="4" w:space="0" w:color="auto"/>
            </w:tcBorders>
          </w:tcPr>
          <w:p w:rsidR="00FB4703" w:rsidRPr="00E40800" w:rsidRDefault="00FB4703" w:rsidP="00FB4703">
            <w:pPr>
              <w:pStyle w:val="Tabele"/>
            </w:pPr>
            <w:r w:rsidRPr="00E40800">
              <w:t>91%</w:t>
            </w:r>
          </w:p>
        </w:tc>
        <w:tc>
          <w:tcPr>
            <w:tcW w:w="1267" w:type="dxa"/>
            <w:tcBorders>
              <w:top w:val="single" w:sz="4" w:space="0" w:color="auto"/>
              <w:left w:val="single" w:sz="4" w:space="0" w:color="auto"/>
              <w:bottom w:val="nil"/>
              <w:right w:val="single" w:sz="4" w:space="0" w:color="auto"/>
            </w:tcBorders>
          </w:tcPr>
          <w:p w:rsidR="00FB4703" w:rsidRPr="00E40800" w:rsidRDefault="00FB4703" w:rsidP="00FB4703">
            <w:pPr>
              <w:pStyle w:val="Tabele"/>
            </w:pPr>
            <w:r w:rsidRPr="00E40800">
              <w:t>6.643.000</w:t>
            </w:r>
          </w:p>
        </w:tc>
        <w:tc>
          <w:tcPr>
            <w:tcW w:w="4140" w:type="dxa"/>
            <w:tcBorders>
              <w:top w:val="single" w:sz="4" w:space="0" w:color="auto"/>
              <w:left w:val="single" w:sz="4" w:space="0" w:color="auto"/>
              <w:bottom w:val="nil"/>
              <w:right w:val="single" w:sz="4" w:space="0" w:color="auto"/>
            </w:tcBorders>
          </w:tcPr>
          <w:p w:rsidR="00FB4703" w:rsidRPr="00E40800" w:rsidRDefault="00FB4703" w:rsidP="00FB4703">
            <w:pPr>
              <w:pStyle w:val="Tabele"/>
            </w:pPr>
            <w:r w:rsidRPr="00E40800">
              <w:t xml:space="preserve">Për të siguruar financimin e funksioneve kryesore të ushtruara nga niveli i parë i QV. Pjesa e Transfertës së Pakushtëzuar për B/K është rritur në vitin 2005 , ndërsa fondi global i kompensimit për B/K/Q  është eliminuar. </w:t>
            </w:r>
          </w:p>
        </w:tc>
      </w:tr>
      <w:tr w:rsidR="00FB4703" w:rsidRPr="00E40800">
        <w:tblPrEx>
          <w:tblCellMar>
            <w:top w:w="0" w:type="dxa"/>
            <w:bottom w:w="0" w:type="dxa"/>
          </w:tblCellMar>
        </w:tblPrEx>
        <w:trPr>
          <w:cantSplit/>
          <w:jc w:val="center"/>
        </w:trPr>
        <w:tc>
          <w:tcPr>
            <w:tcW w:w="9105" w:type="dxa"/>
            <w:gridSpan w:val="4"/>
            <w:tcBorders>
              <w:top w:val="nil"/>
              <w:left w:val="single" w:sz="4" w:space="0" w:color="auto"/>
              <w:bottom w:val="single" w:sz="4" w:space="0" w:color="auto"/>
              <w:right w:val="single" w:sz="4" w:space="0" w:color="auto"/>
            </w:tcBorders>
          </w:tcPr>
          <w:p w:rsidR="00FB4703" w:rsidRPr="00DF4002" w:rsidRDefault="00FB4703" w:rsidP="00FB4703">
            <w:pPr>
              <w:pStyle w:val="Tabele"/>
            </w:pPr>
            <w:r w:rsidRPr="00DF4002">
              <w:t>2. Shpërndarja e pjesës së Bashkisë/Komunës [B/K]</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Grant i përgjithshëm</w:t>
            </w:r>
          </w:p>
          <w:p w:rsidR="00FB4703" w:rsidRPr="00E40800" w:rsidRDefault="00FB4703" w:rsidP="00FB4703">
            <w:pPr>
              <w:pStyle w:val="Tabele"/>
            </w:pPr>
            <w:r w:rsidRPr="00E40800">
              <w:t>[GP]</w:t>
            </w:r>
          </w:p>
          <w:p w:rsidR="00FB4703" w:rsidRPr="00E40800" w:rsidRDefault="00FB4703" w:rsidP="00FB4703">
            <w:pPr>
              <w:pStyle w:val="Tabele"/>
            </w:pPr>
          </w:p>
          <w:p w:rsidR="00FB4703" w:rsidRPr="00E40800" w:rsidRDefault="00FB4703" w:rsidP="00FB4703">
            <w:pPr>
              <w:pStyle w:val="Tabele"/>
            </w:pPr>
            <w:r w:rsidRPr="00E40800">
              <w:t>= [GP] * 1.00</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100%</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6.643.000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Pjesa  e plotë për B/K alokohet në hapin e parë në grantin e përgjithshëm. Këto fonde mundësojnë mbulimin e  nevojave për paga, kostot operative dhe disa investime lokale për funksionet e veta dhe kosto operative jopersoneli për funksionet e deleguara të përcaktuara në Aneksin 3 të ligjit të Buxhetit për vitin 2005. </w:t>
            </w:r>
          </w:p>
          <w:p w:rsidR="00FB4703" w:rsidRPr="00E40800" w:rsidRDefault="00FB4703" w:rsidP="00FB4703">
            <w:pPr>
              <w:pStyle w:val="Tabele"/>
            </w:pPr>
            <w:r w:rsidRPr="00E40800">
              <w:t xml:space="preserve">Nuk alokohen fonde të veçanta për kompensim; fondi i kompensimit krijohet nëpërmjet kompensimit të tranzicionit (shih me poshtë) </w:t>
            </w:r>
          </w:p>
        </w:tc>
      </w:tr>
      <w:tr w:rsidR="00FB4703" w:rsidRPr="00E40800">
        <w:tblPrEx>
          <w:tblCellMar>
            <w:top w:w="0" w:type="dxa"/>
            <w:bottom w:w="0" w:type="dxa"/>
          </w:tblCellMar>
        </w:tblPrEx>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3. Shpërndarja e Grantit të Përgjithshëm për Bashkitë/Komunat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Popullsia [P-B/K]</w:t>
            </w:r>
          </w:p>
          <w:p w:rsidR="00FB4703" w:rsidRPr="00E40800" w:rsidRDefault="00FB4703" w:rsidP="00FB4703">
            <w:pPr>
              <w:pStyle w:val="Tabele"/>
            </w:pPr>
          </w:p>
          <w:p w:rsidR="00FB4703" w:rsidRPr="00E40800" w:rsidRDefault="00FB4703" w:rsidP="00FB4703">
            <w:pPr>
              <w:pStyle w:val="Tabele"/>
            </w:pPr>
            <w:r w:rsidRPr="00E40800">
              <w:t>= [GP-B/K] * 0.73</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73.0%</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4.849.390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Ky është kriteri dominant, pasi popullsia është një indikator i lidhur ngushtë me shpenzimet dhe nevojat për shërbime. Alokimi i [P-B/K/] ndahet proporcionalisht me popullsinë relative të çdo Bashkie/Komune kundrejt popullsisë totale. Ky koeficient është rritur me mbi 10 pikë</w:t>
            </w:r>
          </w:p>
          <w:p w:rsidR="00FB4703" w:rsidRPr="00E40800" w:rsidRDefault="00FB4703" w:rsidP="00FB4703">
            <w:pPr>
              <w:pStyle w:val="Tabele"/>
            </w:pPr>
            <w:r w:rsidRPr="00E40800">
              <w:t xml:space="preserve"> (Shuma fikse është eliminuar si koeficient në vitin 2005 ).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Sipërfaqja e komunave [S-K]</w:t>
            </w:r>
          </w:p>
          <w:p w:rsidR="00FB4703" w:rsidRPr="00E40800" w:rsidRDefault="00FB4703" w:rsidP="00FB4703">
            <w:pPr>
              <w:pStyle w:val="Tabele"/>
            </w:pPr>
          </w:p>
          <w:p w:rsidR="00FB4703" w:rsidRPr="00E40800" w:rsidRDefault="00FB4703" w:rsidP="00FB4703">
            <w:pPr>
              <w:pStyle w:val="Tabele"/>
            </w:pPr>
            <w:r w:rsidRPr="00E40800">
              <w:t>= [GP-B/K] * 0.12</w:t>
            </w:r>
          </w:p>
          <w:p w:rsidR="00FB4703" w:rsidRPr="00E40800" w:rsidRDefault="00FB4703" w:rsidP="00FB4703">
            <w:pPr>
              <w:pStyle w:val="Tabele"/>
            </w:pP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12%</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797.160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Ky element është i aplikueshëm vetëm për komunat. Komunë me sipërfaqe më të madhe nënkupton (për të gjithat kushtet e tjera të barabarta) se ka rrugë më të gjata dhe sfida të tjera infrustrukture që kushtojnë. Sipërfaqja mesatare varion nga 22 deri 179 kilometër katror.</w:t>
            </w:r>
          </w:p>
          <w:p w:rsidR="00FB4703" w:rsidRPr="00E40800" w:rsidRDefault="00FB4703" w:rsidP="00FB4703">
            <w:pPr>
              <w:pStyle w:val="Tabele"/>
            </w:pPr>
            <w:r w:rsidRPr="00E40800">
              <w:t xml:space="preserve">Alokimi i [S-K] ndahet propocionalisht me sipërfaqen relative të çdo komunë kundrejt sipërfaqes totale. Për 174 komuna malore sipërfaqja është llogaritur si totali i sipërfaqes bazë  shtuar me tetë herë.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Shërbimet Urbane </w:t>
            </w:r>
          </w:p>
          <w:p w:rsidR="00FB4703" w:rsidRPr="00E40800" w:rsidRDefault="00FB4703" w:rsidP="00FB4703">
            <w:pPr>
              <w:pStyle w:val="Tabele"/>
            </w:pPr>
            <w:r w:rsidRPr="00E40800">
              <w:t xml:space="preserve"> [SU-B]</w:t>
            </w:r>
          </w:p>
          <w:p w:rsidR="00FB4703" w:rsidRPr="00E40800" w:rsidRDefault="00FB4703" w:rsidP="00FB4703">
            <w:pPr>
              <w:pStyle w:val="Tabele"/>
            </w:pPr>
          </w:p>
          <w:p w:rsidR="00FB4703" w:rsidRPr="00E40800" w:rsidRDefault="00FB4703" w:rsidP="00FB4703">
            <w:pPr>
              <w:pStyle w:val="Tabele"/>
            </w:pPr>
          </w:p>
          <w:p w:rsidR="00FB4703" w:rsidRPr="00E40800" w:rsidRDefault="00FB4703" w:rsidP="00FB4703">
            <w:pPr>
              <w:pStyle w:val="Tabele"/>
            </w:pPr>
            <w:r w:rsidRPr="00E40800">
              <w:t>= [GP-B/K] * 0.15</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15%</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996.450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Ky koeficent merr parasysh faktin që bashkitë sigurojnë një numër dhe gamë më të gjërë shërbimesh publike vendore se sa komunat</w:t>
            </w:r>
          </w:p>
          <w:p w:rsidR="00FB4703" w:rsidRPr="00E40800" w:rsidRDefault="00FB4703" w:rsidP="00FB4703">
            <w:pPr>
              <w:pStyle w:val="Tabele"/>
            </w:pPr>
            <w:r w:rsidRPr="00E40800">
              <w:t xml:space="preserve">Alokimi i [SU-B] ndahet propocionalisht me popullsinë relative të çdo bashkie </w:t>
            </w:r>
            <w:r w:rsidRPr="00E40800">
              <w:lastRenderedPageBreak/>
              <w:t>kundrejt popullsisë totale të bashkive.</w:t>
            </w:r>
          </w:p>
          <w:p w:rsidR="00FB4703" w:rsidRPr="00E40800" w:rsidRDefault="00FB4703" w:rsidP="00FB4703">
            <w:pPr>
              <w:pStyle w:val="Tabele"/>
            </w:pPr>
            <w:r w:rsidRPr="00E40800">
              <w:t xml:space="preserve">Për  Bashkitë e vlerësuara si bashki në nevojë koeficienti i shërbimeve urbane është llogaritur duke  shtuar me 2.5 herë numrin faktik të popullsisë. Për bashki malore, koeficienti i shërbimeve urbane është llogaritur duke shtuar me 2.5 herë numrin faktik të popullsisë.   </w:t>
            </w:r>
          </w:p>
          <w:p w:rsidR="00FB4703" w:rsidRPr="00E40800" w:rsidRDefault="00FB4703" w:rsidP="00FB4703">
            <w:pPr>
              <w:pStyle w:val="Tabele"/>
            </w:pPr>
            <w:r w:rsidRPr="00E40800">
              <w:t xml:space="preserve">Për bashkitë malore e njëkohësisht në nevojë koeficienti i shërbimeve  urbane është llogaritur duke  shtuar  5 herë  numrin faktik të popullsisë për këto bashki. </w:t>
            </w:r>
          </w:p>
          <w:p w:rsidR="00FB4703" w:rsidRPr="00E40800" w:rsidRDefault="00FB4703" w:rsidP="00FB4703">
            <w:pPr>
              <w:pStyle w:val="Tabele"/>
            </w:pPr>
            <w:r w:rsidRPr="00E40800">
              <w:t xml:space="preserve">Koeficienti i veçantë i shërbimeve urbane për Tiranën është eliminuar dhe bashkia është përfshirë në llogaritje me bashkitë e tjera.   </w:t>
            </w:r>
          </w:p>
        </w:tc>
      </w:tr>
      <w:tr w:rsidR="00FB4703" w:rsidRPr="00E40800">
        <w:tblPrEx>
          <w:tblCellMar>
            <w:top w:w="0" w:type="dxa"/>
            <w:bottom w:w="0" w:type="dxa"/>
          </w:tblCellMar>
        </w:tblPrEx>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lastRenderedPageBreak/>
              <w:t>4. Rregullimi i Ekualizimit Fiskal për  Bashkitë dhe Komunat</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Ekualizimi Fiskal</w:t>
            </w:r>
          </w:p>
          <w:p w:rsidR="00FB4703" w:rsidRPr="00E40800" w:rsidRDefault="00FB4703" w:rsidP="00FB4703">
            <w:pPr>
              <w:pStyle w:val="Tabele"/>
            </w:pPr>
            <w:r w:rsidRPr="00E40800">
              <w:t>(B/K</w:t>
            </w:r>
            <w:r w:rsidRPr="00E40800">
              <w:rPr>
                <w:vertAlign w:val="subscript"/>
              </w:rPr>
              <w:t>PCR</w:t>
            </w:r>
            <w:r w:rsidRPr="00E40800">
              <w:t>-N</w:t>
            </w:r>
            <w:r w:rsidRPr="00E40800">
              <w:rPr>
                <w:vertAlign w:val="subscript"/>
              </w:rPr>
              <w:t>PCR</w:t>
            </w:r>
            <w:r w:rsidRPr="00E40800">
              <w:t>)*(+/-35%)*Popullsia</w:t>
            </w:r>
          </w:p>
          <w:p w:rsidR="00FB4703" w:rsidRPr="00E40800" w:rsidRDefault="00FB4703" w:rsidP="00FB4703">
            <w:pPr>
              <w:pStyle w:val="Tabele"/>
            </w:pPr>
          </w:p>
          <w:p w:rsidR="00FB4703" w:rsidRPr="00E40800" w:rsidRDefault="00FB4703" w:rsidP="00FB4703">
            <w:pPr>
              <w:pStyle w:val="Tabele"/>
            </w:pPr>
            <w:r w:rsidRPr="00E40800">
              <w:t>[PCR] -TAPF = Të</w:t>
            </w:r>
            <w:r w:rsidRPr="00090E4E">
              <w:t xml:space="preserve"> ardhura për frym</w:t>
            </w:r>
            <w:r w:rsidRPr="00E40800">
              <w:t xml:space="preserve">ë </w:t>
            </w:r>
          </w:p>
          <w:p w:rsidR="00FB4703" w:rsidRPr="00E40800" w:rsidRDefault="00FB4703" w:rsidP="00FB4703">
            <w:pPr>
              <w:pStyle w:val="Tabele"/>
            </w:pPr>
            <w:r w:rsidRPr="00E40800">
              <w:t>N = nacionale</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35%</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648.819</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090E4E">
              <w:t>Ekualizimi fiskal bazohet në të ardhurat  faktike nga tatimi vendor mbi biznesin e vogël, tatimi i thjeshtëzuar mbi t</w:t>
            </w:r>
            <w:r w:rsidRPr="00E40800">
              <w:t>ë fitimin (të ardhurat faktike të 6 mujorit të dytë të vitit 2003 + 6 mujorin e pare të vitit 2004), taksën e regjistrimit të automjeteve (faktike 2003).</w:t>
            </w:r>
          </w:p>
          <w:p w:rsidR="00FB4703" w:rsidRPr="00E40800" w:rsidRDefault="00FB4703" w:rsidP="00FB4703">
            <w:pPr>
              <w:pStyle w:val="Tabele"/>
            </w:pPr>
            <w:r w:rsidRPr="00E40800">
              <w:t xml:space="preserve">B/K që kanë të ardhura për frymë më të larta se sa të ardhurat nacionale për frymë kontribuojnë 35% të diferencës ndërmjet të dyjave shumëzuar me popullsinë e tyre.  B/K që kanë të ardhura për frymë më të ulta se të ardhurat nacionale për frymë marrin 35% të së njëjtës diferencë të llogaritur në të njëjtën mënyrë.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Rregullimi tranzitor  (rezultati negativ kundrejt vitit 2004)</w:t>
            </w:r>
          </w:p>
          <w:p w:rsidR="00FB4703" w:rsidRPr="00E40800" w:rsidRDefault="00FB4703" w:rsidP="00FB4703">
            <w:pPr>
              <w:pStyle w:val="Tabele"/>
            </w:pPr>
            <w:r w:rsidRPr="00E40800">
              <w:t>(B/K</w:t>
            </w:r>
            <w:r w:rsidRPr="00E40800">
              <w:rPr>
                <w:vertAlign w:val="subscript"/>
              </w:rPr>
              <w:t>R2004</w:t>
            </w:r>
            <w:r w:rsidRPr="00E40800">
              <w:t>-B/K</w:t>
            </w:r>
            <w:r w:rsidRPr="00E40800">
              <w:rPr>
                <w:vertAlign w:val="subscript"/>
              </w:rPr>
              <w:t>R2003</w:t>
            </w:r>
            <w:r w:rsidRPr="00E40800">
              <w:t>)*(0.100)</w:t>
            </w:r>
          </w:p>
          <w:p w:rsidR="00FB4703" w:rsidRPr="00E40800" w:rsidRDefault="00FB4703" w:rsidP="00FB4703">
            <w:pPr>
              <w:pStyle w:val="Tabele"/>
            </w:pPr>
          </w:p>
          <w:p w:rsidR="00FB4703" w:rsidRPr="00E40800" w:rsidRDefault="00FB4703" w:rsidP="00FB4703">
            <w:pPr>
              <w:pStyle w:val="Tabele"/>
            </w:pPr>
            <w:r w:rsidRPr="00E40800">
              <w:t>R = të ardhura për një vit të dhënë</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Kufiri</w:t>
            </w:r>
          </w:p>
          <w:p w:rsidR="00FB4703" w:rsidRPr="00E40800" w:rsidRDefault="00FB4703" w:rsidP="00FB4703">
            <w:pPr>
              <w:pStyle w:val="Tabele"/>
            </w:pPr>
            <w:r w:rsidRPr="00E40800">
              <w:t xml:space="preserve"> 0.00%</w:t>
            </w:r>
          </w:p>
          <w:p w:rsidR="00FB4703" w:rsidRPr="00E40800" w:rsidRDefault="00FB4703" w:rsidP="00FB4703">
            <w:pPr>
              <w:pStyle w:val="Tabele"/>
            </w:pPr>
            <w:r w:rsidRPr="00E40800">
              <w:t>Koeficienti</w:t>
            </w:r>
          </w:p>
          <w:p w:rsidR="00FB4703" w:rsidRPr="00E40800" w:rsidRDefault="00FB4703" w:rsidP="00FB4703">
            <w:pPr>
              <w:pStyle w:val="Tabele"/>
            </w:pPr>
            <w:r w:rsidRPr="00E40800">
              <w:t>100%</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123.476</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B/K  të cilat , pas rezultateve të ekualizimit fiskal kanë një grant që është me i ulët se në vitin 2004 kompesohen për diferencën në masën 100 %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Rregullimi tranzitor</w:t>
            </w:r>
          </w:p>
          <w:p w:rsidR="00FB4703" w:rsidRPr="00E40800" w:rsidRDefault="00FB4703" w:rsidP="00FB4703">
            <w:pPr>
              <w:pStyle w:val="Tabele"/>
            </w:pPr>
            <w:r w:rsidRPr="00E40800">
              <w:t xml:space="preserve"> (rezultatet pozitive kundrejt vitit 2004)</w:t>
            </w:r>
          </w:p>
          <w:p w:rsidR="00FB4703" w:rsidRPr="00E40800" w:rsidRDefault="00FB4703" w:rsidP="00FB4703">
            <w:pPr>
              <w:pStyle w:val="Tabele"/>
            </w:pPr>
          </w:p>
          <w:p w:rsidR="00FB4703" w:rsidRPr="00E40800" w:rsidRDefault="00FB4703" w:rsidP="00FB4703">
            <w:pPr>
              <w:pStyle w:val="Tabele"/>
              <w:rPr>
                <w:color w:val="000000"/>
              </w:rPr>
            </w:pP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Kufiri</w:t>
            </w:r>
          </w:p>
          <w:p w:rsidR="00FB4703" w:rsidRPr="00E40800" w:rsidRDefault="00FB4703" w:rsidP="00FB4703">
            <w:pPr>
              <w:pStyle w:val="Tabele"/>
            </w:pPr>
            <w:r w:rsidRPr="00E40800">
              <w:t>&gt;20%</w:t>
            </w:r>
          </w:p>
          <w:p w:rsidR="00FB4703" w:rsidRPr="00E40800" w:rsidRDefault="00FB4703" w:rsidP="00FB4703">
            <w:pPr>
              <w:pStyle w:val="Tabele"/>
            </w:pPr>
            <w:r w:rsidRPr="00E40800">
              <w:t>Koeficienti</w:t>
            </w:r>
          </w:p>
          <w:p w:rsidR="00FB4703" w:rsidRPr="00E40800" w:rsidRDefault="00FB4703" w:rsidP="00FB4703">
            <w:pPr>
              <w:pStyle w:val="Tabele"/>
            </w:pPr>
            <w:r w:rsidRPr="00E40800">
              <w:t>1.20%</w:t>
            </w:r>
          </w:p>
        </w:tc>
        <w:tc>
          <w:tcPr>
            <w:tcW w:w="1267" w:type="dxa"/>
            <w:tcBorders>
              <w:top w:val="single" w:sz="4" w:space="0" w:color="auto"/>
              <w:left w:val="single" w:sz="4" w:space="0" w:color="auto"/>
              <w:bottom w:val="single" w:sz="4" w:space="0" w:color="auto"/>
              <w:right w:val="single" w:sz="4" w:space="0" w:color="auto"/>
            </w:tcBorders>
          </w:tcPr>
          <w:p w:rsidR="00FB4703" w:rsidRPr="00090E4E" w:rsidRDefault="00FB4703" w:rsidP="00FB4703">
            <w:pPr>
              <w:pStyle w:val="Tabele"/>
            </w:pPr>
            <w:r w:rsidRPr="00090E4E">
              <w:t>(803.496 )</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B/K të cilat, pas rezulateve të ekualizimit fiskal, përfitojnë një rritje të krahasuar me vitin 2004  mbi 20%, kufizohen në një rritje  me 20% dhe për diferencen mbi 20 % kontribojnë  për rritjen e garancisë minimale për frymë.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Kompensimi i garancisë minimale për frymë.</w:t>
            </w:r>
          </w:p>
          <w:p w:rsidR="00FB4703" w:rsidRPr="00E40800" w:rsidRDefault="00FB4703" w:rsidP="00FB4703">
            <w:pPr>
              <w:pStyle w:val="Tabele"/>
              <w:rPr>
                <w:color w:val="000000"/>
              </w:rPr>
            </w:pP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B – 3.500 minimumi për frymë</w:t>
            </w:r>
          </w:p>
          <w:p w:rsidR="00FB4703" w:rsidRPr="00E40800" w:rsidRDefault="00FB4703" w:rsidP="00FB4703">
            <w:pPr>
              <w:pStyle w:val="Tabele"/>
            </w:pPr>
          </w:p>
          <w:p w:rsidR="00FB4703" w:rsidRPr="00E40800" w:rsidRDefault="00FB4703" w:rsidP="00FB4703">
            <w:pPr>
              <w:pStyle w:val="Tabele"/>
            </w:pPr>
            <w:r w:rsidRPr="00E40800">
              <w:t xml:space="preserve">K – 2.500 minimum </w:t>
            </w:r>
            <w:r w:rsidRPr="00E40800">
              <w:lastRenderedPageBreak/>
              <w:t xml:space="preserve">për frymë </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lastRenderedPageBreak/>
              <w:t>556.596</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Për të siguruar një të ardhur të garantuar minimale për frymë, ky kompensim krahason të ardhurat përfundimtare për frymë (grantit të përshtatur për tranzicion, plus të ardhurat fiskale të listuara më përpara) me garancinë minimale prej (2500 </w:t>
            </w:r>
            <w:r w:rsidRPr="00E40800">
              <w:lastRenderedPageBreak/>
              <w:t>lek/për frymë për komunat, 3500 lek/për frymë për bashkitë). Bashkitë ose Komunat marrin diferencën ndërmjet të dyjave, shumëzuar me popullsine e tyre.</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lastRenderedPageBreak/>
              <w:t>Fondi Neto i Kompensimit për bashkitë dhe komunat</w:t>
            </w:r>
          </w:p>
          <w:p w:rsidR="00FB4703" w:rsidRPr="00E40800" w:rsidRDefault="00FB4703" w:rsidP="00FB4703">
            <w:pPr>
              <w:pStyle w:val="Tabele"/>
            </w:pPr>
            <w:r w:rsidRPr="00E40800">
              <w:t>[FNK-B/K]</w:t>
            </w:r>
          </w:p>
          <w:p w:rsidR="00FB4703" w:rsidRPr="00E40800" w:rsidRDefault="00FB4703" w:rsidP="00FB4703">
            <w:pPr>
              <w:pStyle w:val="Tabele"/>
            </w:pP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123.424</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Ky fond është produkt  i elementeve të mëposhtëm:</w:t>
            </w:r>
          </w:p>
          <w:p w:rsidR="00FB4703" w:rsidRPr="00E40800" w:rsidRDefault="00FB4703" w:rsidP="00FB4703">
            <w:pPr>
              <w:pStyle w:val="Tabele"/>
            </w:pPr>
            <w:r w:rsidRPr="00E40800">
              <w:t>- Kompensimi tranzitor për rezulat negativ</w:t>
            </w:r>
          </w:p>
          <w:p w:rsidR="00FB4703" w:rsidRPr="00E40800" w:rsidRDefault="00FB4703" w:rsidP="00FB4703">
            <w:pPr>
              <w:pStyle w:val="Tabele"/>
            </w:pPr>
            <w:r w:rsidRPr="00E40800">
              <w:t>+ Kompensimi tranzitor për rezultat pozitiv</w:t>
            </w:r>
          </w:p>
          <w:p w:rsidR="00FB4703" w:rsidRPr="00E40800" w:rsidRDefault="00FB4703" w:rsidP="00FB4703">
            <w:pPr>
              <w:pStyle w:val="Tabele"/>
            </w:pPr>
            <w:r w:rsidRPr="00E40800">
              <w:t>- Kompensimi I garancisë minimale për frymë</w:t>
            </w:r>
          </w:p>
          <w:p w:rsidR="00FB4703" w:rsidRPr="00E40800" w:rsidRDefault="00FB4703" w:rsidP="00FB4703">
            <w:pPr>
              <w:pStyle w:val="Tabele"/>
            </w:pPr>
          </w:p>
          <w:p w:rsidR="00FB4703" w:rsidRPr="00090E4E" w:rsidRDefault="00FB4703" w:rsidP="00FB4703">
            <w:pPr>
              <w:pStyle w:val="Tabele"/>
            </w:pPr>
            <w:r w:rsidRPr="00E40800">
              <w:t>Përdorimi i fondit kompensues për B/K bëhet sipas kritereve të parashikuara, sic përshkruhet në Aneksin 3.</w:t>
            </w:r>
          </w:p>
          <w:p w:rsidR="00FB4703" w:rsidRPr="00E40800" w:rsidRDefault="00FB4703" w:rsidP="00FB4703">
            <w:pPr>
              <w:pStyle w:val="Tabele"/>
            </w:pPr>
          </w:p>
        </w:tc>
      </w:tr>
      <w:tr w:rsidR="00FB4703" w:rsidRPr="00E40800">
        <w:tblPrEx>
          <w:tblCellMar>
            <w:top w:w="0" w:type="dxa"/>
            <w:bottom w:w="0" w:type="dxa"/>
          </w:tblCellMar>
        </w:tblPrEx>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5. Shuma Finale e Grantit të Përgjithshëm për Bashkitë dhe Komunat </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Shuma në total e shpërndarje se grantit për bashkitë dhe komunat  </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rPr>
                <w:color w:val="000000"/>
              </w:rPr>
            </w:pP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6.519.576</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rPr>
                <w:color w:val="000000"/>
              </w:rPr>
            </w:pPr>
          </w:p>
        </w:tc>
      </w:tr>
      <w:tr w:rsidR="00FB4703" w:rsidRPr="00E40800">
        <w:tblPrEx>
          <w:tblCellMar>
            <w:top w:w="0" w:type="dxa"/>
            <w:bottom w:w="0" w:type="dxa"/>
          </w:tblCellMar>
        </w:tblPrEx>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6. Shpërndarja e Pjesës së Grantit për Qarqet</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Granti i Përgjithshëm për Qarqet</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98%</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643.860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Për financimin e funksioneve bazë të qarqeve.</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Fondi i Kompensimit për Qarqet</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2%</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13.140</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Për finacimin e rasteve të veçanta të shpenzimeve të qarqeve,</w:t>
            </w:r>
          </w:p>
        </w:tc>
      </w:tr>
      <w:tr w:rsidR="00FB4703" w:rsidRPr="00E40800">
        <w:tblPrEx>
          <w:tblCellMar>
            <w:top w:w="0" w:type="dxa"/>
            <w:bottom w:w="0" w:type="dxa"/>
          </w:tblCellMar>
        </w:tblPrEx>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7.Shpërndarja e Grantit të Përgjithshëm për Qarqet</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Shuma fikse [SF-Q]</w:t>
            </w:r>
          </w:p>
          <w:p w:rsidR="00FB4703" w:rsidRPr="00E40800" w:rsidRDefault="00FB4703" w:rsidP="00FB4703">
            <w:pPr>
              <w:pStyle w:val="Tabele"/>
            </w:pPr>
          </w:p>
          <w:p w:rsidR="00FB4703" w:rsidRPr="00E40800" w:rsidRDefault="00FB4703" w:rsidP="00FB4703">
            <w:pPr>
              <w:pStyle w:val="Tabele"/>
            </w:pPr>
            <w:r w:rsidRPr="00E40800">
              <w:t>= [Q] * 0.15</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15%</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96.579</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Shuma fikse alokon një shumë të barabartë për çdo qark . </w:t>
            </w:r>
          </w:p>
          <w:p w:rsidR="00FB4703" w:rsidRPr="00E40800" w:rsidRDefault="00FB4703" w:rsidP="00FB4703">
            <w:pPr>
              <w:pStyle w:val="Tabele"/>
            </w:pPr>
          </w:p>
          <w:p w:rsidR="00FB4703" w:rsidRPr="00E40800" w:rsidRDefault="00FB4703" w:rsidP="00FB4703">
            <w:pPr>
              <w:pStyle w:val="Tabele"/>
            </w:pPr>
            <w:r w:rsidRPr="00E40800">
              <w:t>Shuma në total  [SF-Q] ndahet barabar mes qarqeve (pjesëtohet me numrin e qarqeve 12)</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Popullsia [P-Q]</w:t>
            </w:r>
          </w:p>
          <w:p w:rsidR="00FB4703" w:rsidRPr="00E40800" w:rsidRDefault="00FB4703" w:rsidP="00FB4703">
            <w:pPr>
              <w:pStyle w:val="Tabele"/>
            </w:pPr>
          </w:p>
          <w:p w:rsidR="00FB4703" w:rsidRPr="00E40800" w:rsidRDefault="00FB4703" w:rsidP="00FB4703">
            <w:pPr>
              <w:pStyle w:val="Tabele"/>
            </w:pPr>
            <w:r w:rsidRPr="00E40800">
              <w:t>= [Q] * 0.25</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25%</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160.965</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Tipet e shërbimeve të siguruara nga qarku kanë një korrelacion negativ me popullsinë.   Dhënia e një peshe më të madhe këtij kriteri do të penalizojë padrejtesisht më tepër qarqet më të varfëra dhe me më pak banorë.</w:t>
            </w:r>
          </w:p>
          <w:p w:rsidR="00FB4703" w:rsidRPr="00E40800" w:rsidRDefault="00FB4703" w:rsidP="00FB4703">
            <w:pPr>
              <w:pStyle w:val="Tabele"/>
            </w:pPr>
            <w:r w:rsidRPr="00E40800">
              <w:t>Alokimi i [P-Q] bëhet propocionalisht me popullsinë relative të cdo qarku kundrejt totalit të popullsisë.</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Treguesi gjeografik  [KG-Q]</w:t>
            </w:r>
          </w:p>
          <w:p w:rsidR="00FB4703" w:rsidRPr="00E40800" w:rsidRDefault="00FB4703" w:rsidP="00FB4703">
            <w:pPr>
              <w:pStyle w:val="Tabele"/>
            </w:pPr>
          </w:p>
          <w:p w:rsidR="00FB4703" w:rsidRPr="00E40800" w:rsidRDefault="00FB4703" w:rsidP="00FB4703">
            <w:pPr>
              <w:pStyle w:val="Tabele"/>
            </w:pPr>
            <w:r w:rsidRPr="00E40800">
              <w:t>= [Q] * 0.30</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30%</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193.158</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Ky është një tregues i rëndësishëm që merr parasysh avantazhet dhe disavantazhet natyrore të vendndodhjes së qarkut. Për të karakterizuar tre zonat tipike të vendit: fushore – kodrinore – malore u përdor një shkallë 1-3-5. (p.sh. Durrës = 1, Elbasan = 3, Kukës = 5). Sa më e lartë shkalla aq më të mëdha fondet që do të alokohen për këtë koeficent.</w:t>
            </w:r>
          </w:p>
          <w:p w:rsidR="00FB4703" w:rsidRPr="00E40800" w:rsidRDefault="00FB4703" w:rsidP="00FB4703">
            <w:pPr>
              <w:pStyle w:val="Tabele"/>
            </w:pPr>
            <w:r w:rsidRPr="00E40800">
              <w:t>Alokimi i [KG-Q] bëhet propocionalisht me raportin e shkallës së qarkut kundrejt shumës së shkallëve për të gjithë qarqet (32). P.sh. Qarku Kukës merr 5/32 e shumës prej 193.158 mijeëlekë</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Koefiçenti i Rrugës [R-k]</w:t>
            </w:r>
          </w:p>
          <w:p w:rsidR="00FB4703" w:rsidRPr="00E40800" w:rsidRDefault="00FB4703" w:rsidP="00FB4703">
            <w:pPr>
              <w:pStyle w:val="Tabele"/>
            </w:pPr>
          </w:p>
          <w:p w:rsidR="00FB4703" w:rsidRPr="00E40800" w:rsidRDefault="00FB4703" w:rsidP="00FB4703">
            <w:pPr>
              <w:pStyle w:val="Tabele"/>
            </w:pPr>
          </w:p>
          <w:p w:rsidR="00FB4703" w:rsidRPr="00E40800" w:rsidRDefault="00FB4703" w:rsidP="00FB4703">
            <w:pPr>
              <w:pStyle w:val="Tabele"/>
            </w:pPr>
            <w:r w:rsidRPr="00E40800">
              <w:t>= [Q] * 0.30</w:t>
            </w: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30%</w:t>
            </w: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193.158</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Alokimi [KR] ndahet proporcionalisht me gjatësinë relative të rrugëve për secilin qark, kundrejt gjatësisë totale. </w:t>
            </w:r>
          </w:p>
        </w:tc>
      </w:tr>
      <w:tr w:rsidR="00FB4703" w:rsidRPr="00E40800">
        <w:tblPrEx>
          <w:tblCellMar>
            <w:top w:w="0" w:type="dxa"/>
            <w:bottom w:w="0" w:type="dxa"/>
          </w:tblCellMar>
        </w:tblPrEx>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8. Fonde të disponueshme për kompensim</w:t>
            </w:r>
          </w:p>
        </w:tc>
      </w:tr>
      <w:tr w:rsidR="00FB4703" w:rsidRPr="00E40800">
        <w:tblPrEx>
          <w:tblCellMar>
            <w:top w:w="0" w:type="dxa"/>
            <w:bottom w:w="0" w:type="dxa"/>
          </w:tblCellMar>
        </w:tblPrEx>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 xml:space="preserve">a. Kompensim për B/K </w:t>
            </w:r>
          </w:p>
          <w:p w:rsidR="00FB4703" w:rsidRPr="00E40800" w:rsidRDefault="00FB4703" w:rsidP="00FB4703">
            <w:pPr>
              <w:pStyle w:val="Tabele"/>
            </w:pPr>
            <w:r w:rsidRPr="00E40800">
              <w:t xml:space="preserve">b. Kompensimi për Q </w:t>
            </w:r>
          </w:p>
          <w:p w:rsidR="00FB4703" w:rsidRPr="00E40800" w:rsidRDefault="00FB4703" w:rsidP="00FB4703">
            <w:pPr>
              <w:pStyle w:val="Tabele"/>
            </w:pPr>
            <w:r w:rsidRPr="00E40800">
              <w:t>TOTALI</w:t>
            </w:r>
          </w:p>
          <w:p w:rsidR="00FB4703" w:rsidRPr="00E40800" w:rsidRDefault="00FB4703" w:rsidP="00FB4703">
            <w:pPr>
              <w:pStyle w:val="Tabele"/>
              <w:rPr>
                <w:color w:val="000000"/>
              </w:rPr>
            </w:pPr>
          </w:p>
        </w:tc>
        <w:tc>
          <w:tcPr>
            <w:tcW w:w="116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p>
        </w:tc>
        <w:tc>
          <w:tcPr>
            <w:tcW w:w="1267"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123.424</w:t>
            </w:r>
          </w:p>
          <w:p w:rsidR="00FB4703" w:rsidRPr="00E40800" w:rsidRDefault="00FB4703" w:rsidP="00FB4703">
            <w:pPr>
              <w:pStyle w:val="Tabele"/>
            </w:pPr>
            <w:r w:rsidRPr="00E40800">
              <w:t>13.140</w:t>
            </w:r>
          </w:p>
          <w:p w:rsidR="00FB4703" w:rsidRPr="00E40800" w:rsidRDefault="00FB4703" w:rsidP="00FB4703">
            <w:pPr>
              <w:pStyle w:val="Tabele"/>
            </w:pPr>
            <w:r w:rsidRPr="00E40800">
              <w:t>136.564</w:t>
            </w:r>
          </w:p>
        </w:tc>
        <w:tc>
          <w:tcPr>
            <w:tcW w:w="4140"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Përdorimi i këtyre fondeve të kompensimit do të bazohet në kriteret e caktuara paraprakisht dhe nga marrëveshja reciproke ndërmjet Ministrisë së Pushtetit vendor dhe Decentralizimit dhe Ministrisë së Financave.</w:t>
            </w:r>
          </w:p>
        </w:tc>
      </w:tr>
    </w:tbl>
    <w:p w:rsidR="00FB4703" w:rsidRPr="00E40800" w:rsidRDefault="00FB4703" w:rsidP="00FB4703">
      <w:pPr>
        <w:pStyle w:val="Paragrafi"/>
        <w:rPr>
          <w:lang w:val="sq-AL"/>
        </w:rPr>
      </w:pPr>
      <w:r w:rsidRPr="00E40800">
        <w:rPr>
          <w:lang w:val="sq-AL"/>
        </w:rPr>
        <w:t xml:space="preserve"> </w:t>
      </w: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Aneksi"/>
        <w:rPr>
          <w:b/>
        </w:rPr>
      </w:pPr>
      <w:r w:rsidRPr="00E40800">
        <w:rPr>
          <w:b/>
        </w:rPr>
        <w:t>ANEKS 2</w:t>
      </w:r>
    </w:p>
    <w:p w:rsidR="00FB4703" w:rsidRPr="00E40800" w:rsidRDefault="00FB4703" w:rsidP="00FB4703">
      <w:pPr>
        <w:pStyle w:val="AneksiTitull"/>
      </w:pPr>
      <w:r w:rsidRPr="00E40800">
        <w:t>Kriteret e Fondit të Kompensimit</w:t>
      </w:r>
    </w:p>
    <w:p w:rsidR="00FB4703" w:rsidRPr="00E40800" w:rsidRDefault="00FB4703" w:rsidP="00FB470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3"/>
      </w:tblGrid>
      <w:tr w:rsidR="00FB4703"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Nivelet e Pushtetit Vendor</w:t>
            </w:r>
          </w:p>
        </w:tc>
        <w:tc>
          <w:tcPr>
            <w:tcW w:w="4623"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Kriteret</w:t>
            </w:r>
          </w:p>
        </w:tc>
      </w:tr>
      <w:tr w:rsidR="00FB4703"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A. Fonde vetem për bashkitë dhe komunat</w:t>
            </w:r>
          </w:p>
        </w:tc>
        <w:tc>
          <w:tcPr>
            <w:tcW w:w="4623"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rPr>
                <w:lang w:val="it-IT"/>
              </w:rPr>
            </w:pPr>
            <w:r w:rsidRPr="00E40800">
              <w:rPr>
                <w:lang w:val="it-IT"/>
              </w:rPr>
              <w:t>- kompensimi për ripershtatjen e kapacitetit fiskal,</w:t>
            </w:r>
          </w:p>
          <w:p w:rsidR="00FB4703" w:rsidRPr="00E40800" w:rsidRDefault="00FB4703" w:rsidP="00FB4703">
            <w:pPr>
              <w:pStyle w:val="Tabele"/>
              <w:rPr>
                <w:lang w:val="it-IT"/>
              </w:rPr>
            </w:pPr>
            <w:r w:rsidRPr="00E40800">
              <w:rPr>
                <w:lang w:val="it-IT"/>
              </w:rPr>
              <w:t>-kompensimi bazuar në kriterin e varferise (GPRS),</w:t>
            </w:r>
          </w:p>
          <w:p w:rsidR="00FB4703" w:rsidRPr="00E40800" w:rsidRDefault="00FB4703" w:rsidP="00FB4703">
            <w:pPr>
              <w:pStyle w:val="Tabele"/>
            </w:pPr>
            <w:r w:rsidRPr="00E40800">
              <w:t>-kompensimi për ndryshimin e numrit të popullsise pas regjistrimit.</w:t>
            </w:r>
          </w:p>
        </w:tc>
      </w:tr>
      <w:tr w:rsidR="00FB4703"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rPr>
                <w:lang w:val="it-IT"/>
              </w:rPr>
            </w:pPr>
            <w:r w:rsidRPr="00E40800">
              <w:rPr>
                <w:lang w:val="it-IT"/>
              </w:rPr>
              <w:t>B. Fonde vetem për qarqet</w:t>
            </w:r>
          </w:p>
        </w:tc>
        <w:tc>
          <w:tcPr>
            <w:tcW w:w="4623"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pPr>
            <w:r w:rsidRPr="00E40800">
              <w:t>-disa shpenzime operative që mund të nevojiten gjate vitit.</w:t>
            </w:r>
          </w:p>
        </w:tc>
      </w:tr>
      <w:tr w:rsidR="00FB4703"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rPr>
                <w:lang w:val="it-IT"/>
              </w:rPr>
            </w:pPr>
            <w:r w:rsidRPr="00E40800">
              <w:rPr>
                <w:lang w:val="it-IT"/>
              </w:rPr>
              <w:t>C. Fonde për të gjitha qeverisjet vendore</w:t>
            </w:r>
          </w:p>
        </w:tc>
        <w:tc>
          <w:tcPr>
            <w:tcW w:w="4623" w:type="dxa"/>
            <w:tcBorders>
              <w:top w:val="single" w:sz="4" w:space="0" w:color="auto"/>
              <w:left w:val="single" w:sz="4" w:space="0" w:color="auto"/>
              <w:bottom w:val="single" w:sz="4" w:space="0" w:color="auto"/>
              <w:right w:val="single" w:sz="4" w:space="0" w:color="auto"/>
            </w:tcBorders>
          </w:tcPr>
          <w:p w:rsidR="00FB4703" w:rsidRPr="00E40800" w:rsidRDefault="00FB4703" w:rsidP="00FB4703">
            <w:pPr>
              <w:pStyle w:val="Tabele"/>
              <w:rPr>
                <w:lang w:val="it-IT"/>
              </w:rPr>
            </w:pPr>
            <w:r w:rsidRPr="00E40800">
              <w:rPr>
                <w:lang w:val="it-IT"/>
              </w:rPr>
              <w:t>-kriteret e sipërpërmendura për bashkitë, komunat dhe qarqet,</w:t>
            </w:r>
          </w:p>
          <w:p w:rsidR="00FB4703" w:rsidRPr="00E40800" w:rsidRDefault="00FB4703" w:rsidP="00FB4703">
            <w:pPr>
              <w:pStyle w:val="Tabele"/>
            </w:pPr>
            <w:r w:rsidRPr="00E40800">
              <w:rPr>
                <w:lang w:val="it-IT"/>
              </w:rPr>
              <w:t xml:space="preserve">-dhënie hua për tre mujorin e pare 2005 pa interes njesive të qeverisjes vendore që kane mosperputhje mdidis nevojave për shpenzime dhe arketimit të taksave të tyre. </w:t>
            </w:r>
            <w:r w:rsidRPr="00E40800">
              <w:t xml:space="preserve">Kthimi i huase do behet brenda dates 15 prill 2005.  </w:t>
            </w:r>
          </w:p>
        </w:tc>
      </w:tr>
    </w:tbl>
    <w:p w:rsidR="00FB4703" w:rsidRPr="00E40800" w:rsidRDefault="00FB4703" w:rsidP="00FB4703">
      <w:pPr>
        <w:pStyle w:val="Paragrafi"/>
      </w:pPr>
    </w:p>
    <w:p w:rsidR="00FB4703" w:rsidRPr="00E40800" w:rsidRDefault="00FB4703" w:rsidP="00FB4703">
      <w:pPr>
        <w:pStyle w:val="Paragrafi"/>
        <w:rPr>
          <w:lang w:val="sq-AL"/>
        </w:rPr>
      </w:pPr>
      <w:r w:rsidRPr="00E40800">
        <w:rPr>
          <w:lang w:val="sq-AL"/>
        </w:rPr>
        <w:t>Procedurat për alokimin e këtij fondi percaktohen në udhezimin e zbatimit të buxhetit të vitit 2005.</w:t>
      </w: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Paragrafi"/>
        <w:rPr>
          <w:szCs w:val="22"/>
          <w:lang w:val="sq-AL"/>
        </w:rPr>
      </w:pPr>
    </w:p>
    <w:p w:rsidR="00FB4703" w:rsidRPr="00E40800" w:rsidRDefault="00FB4703" w:rsidP="00FB4703">
      <w:pPr>
        <w:pStyle w:val="Aneksi"/>
        <w:rPr>
          <w:b/>
          <w:bCs/>
        </w:rPr>
      </w:pPr>
      <w:r w:rsidRPr="00E40800">
        <w:rPr>
          <w:b/>
          <w:bCs/>
        </w:rPr>
        <w:t xml:space="preserve">ANEKS 3 </w:t>
      </w:r>
    </w:p>
    <w:p w:rsidR="00FB4703" w:rsidRPr="00E40800" w:rsidRDefault="00FB4703" w:rsidP="00FB4703">
      <w:pPr>
        <w:pStyle w:val="Paragrafi"/>
        <w:rPr>
          <w:szCs w:val="22"/>
          <w:lang w:val="sq-AL"/>
        </w:rPr>
      </w:pPr>
    </w:p>
    <w:p w:rsidR="00FB4703" w:rsidRPr="00E40800" w:rsidRDefault="00FB4703" w:rsidP="00FB4703">
      <w:pPr>
        <w:pStyle w:val="Paragrafi"/>
        <w:rPr>
          <w:b/>
          <w:szCs w:val="22"/>
          <w:lang w:val="sq-AL"/>
        </w:rPr>
      </w:pPr>
      <w:r w:rsidRPr="00E40800">
        <w:rPr>
          <w:b/>
          <w:szCs w:val="22"/>
          <w:lang w:val="sq-AL"/>
        </w:rPr>
        <w:t xml:space="preserve">I. Funksione të përbashkëta në sektorin e arsimit dhe të shëndetësisë </w:t>
      </w:r>
    </w:p>
    <w:p w:rsidR="00FB4703" w:rsidRPr="00E40800" w:rsidRDefault="00FB4703" w:rsidP="00FB4703">
      <w:pPr>
        <w:pStyle w:val="Paragrafi"/>
        <w:rPr>
          <w:b/>
          <w:sz w:val="18"/>
          <w:szCs w:val="22"/>
          <w:lang w:val="sq-AL"/>
        </w:rPr>
      </w:pPr>
    </w:p>
    <w:p w:rsidR="00FB4703" w:rsidRPr="00E40800" w:rsidRDefault="00FB4703" w:rsidP="00FB4703">
      <w:pPr>
        <w:pStyle w:val="Paragrafi"/>
        <w:rPr>
          <w:b/>
          <w:szCs w:val="22"/>
          <w:u w:val="single"/>
          <w:lang w:val="sq-AL"/>
        </w:rPr>
      </w:pPr>
      <w:r w:rsidRPr="00E40800">
        <w:rPr>
          <w:b/>
          <w:szCs w:val="22"/>
          <w:u w:val="single"/>
          <w:lang w:val="sq-AL"/>
        </w:rPr>
        <w:t>1. SEKTORI I ARSIMIT PARAUNIVERSITAR:</w:t>
      </w:r>
    </w:p>
    <w:p w:rsidR="00FB4703" w:rsidRPr="00E40800" w:rsidRDefault="00FB4703" w:rsidP="00FB4703">
      <w:pPr>
        <w:pStyle w:val="Paragrafi"/>
        <w:rPr>
          <w:lang w:val="sq-AL"/>
        </w:rPr>
      </w:pPr>
    </w:p>
    <w:p w:rsidR="00FB4703" w:rsidRPr="00E40800" w:rsidRDefault="00FB4703" w:rsidP="00FB4703">
      <w:pPr>
        <w:pStyle w:val="Paragrafi"/>
        <w:rPr>
          <w:szCs w:val="22"/>
        </w:rPr>
      </w:pPr>
      <w:r w:rsidRPr="00E40800">
        <w:rPr>
          <w:szCs w:val="22"/>
        </w:rPr>
        <w:t>Pagesa e pagave të mësuesve: Bashkitë dhe komunat autorizohen të bëjnë pagesën e pagës së  mësuesve të sistemit parauniversitar që punojnë në komunitetin e tyre sipas normave, mënyrës dhe afateve të përcaktuara nga Ministria e Arsimit dhe Shkencës/drejtoritë arsimore. Bashkitë dhe komunat e përmbushin këtë funksion si një shërbim administrativ. Ministria e Arsimit dhe Shkencës jep të gjitha fondet e kërkuara për të paguar pagat e mësuesve, siç përcaktohet në aktet ligjore dhe nënligjore në fuqi. Bashkitë dhe komunat nuk duhet të japin ndonjë fond nga buxheti i tyre për këtë qëllim. Shpenzimet për pagat e mësueve nuk përbëjnë një shpenzim për bashkitë dhe komunat.</w:t>
      </w:r>
    </w:p>
    <w:p w:rsidR="00FB4703" w:rsidRPr="00E40800" w:rsidRDefault="00FB4703" w:rsidP="00FB4703">
      <w:pPr>
        <w:pStyle w:val="Paragrafi"/>
        <w:rPr>
          <w:szCs w:val="22"/>
        </w:rPr>
      </w:pPr>
    </w:p>
    <w:p w:rsidR="00FB4703" w:rsidRPr="00E40800" w:rsidRDefault="00FB4703" w:rsidP="00FB4703">
      <w:pPr>
        <w:pStyle w:val="Paragrafi"/>
        <w:rPr>
          <w:szCs w:val="22"/>
        </w:rPr>
      </w:pPr>
      <w:r w:rsidRPr="00E40800">
        <w:rPr>
          <w:szCs w:val="22"/>
        </w:rPr>
        <w:t xml:space="preserve">Funksionimi dhe mirëmbajtja e mjedisve të arsimit parauniversitar: Bashkitë dhe komunat kanë kompetencë të plotë për të siguruar mirëmbajtjen e të gjitha mjediseve të arsimit parauniversitar në komunitetin e tyre. Fondet për mirëmbajtjen e mjediseve të arsimit parauniversitar janë të përfshira në transfertën e pakushtëzuar që i jepet bashkive dhe komunave nga Buxheti i Shtetit. Çdo bashki dhe komunë vendos nivelin e financimit që ajo akordon për këtë funksion nga granti i pakushtëzuar, i dhënë nga Buxheti i Shtetit, si dhe nga burime të tjera të disponueshme në buxhetin e tyre. Ministria e Arsimit dhe Shkencës përgatit dhe nxjerr standarde minimale kombëtare të sigurisë dhe shëndetit të zbatueshme për mjediset e arsimit parauniversitar. Këto standarde nuk duhet të kufizojnë vendimmarrjen e bashkive dhe komunave në fushat me interes të qartë vendor. Shpenzimet e lidhura me funksionimin dhe mirëmbajtjen e mjediseve të arsimit parauniversitar miratohen si pjesë e buxhetit të çdo bashkie dhe komune. </w:t>
      </w:r>
    </w:p>
    <w:p w:rsidR="00FB4703" w:rsidRPr="00E40800" w:rsidRDefault="00FB4703" w:rsidP="00FB4703">
      <w:pPr>
        <w:pStyle w:val="Paragrafi"/>
        <w:rPr>
          <w:szCs w:val="22"/>
        </w:rPr>
      </w:pPr>
    </w:p>
    <w:p w:rsidR="00FB4703" w:rsidRPr="00E40800" w:rsidRDefault="00FB4703" w:rsidP="00FB4703">
      <w:pPr>
        <w:pStyle w:val="Paragrafi"/>
        <w:rPr>
          <w:b/>
          <w:szCs w:val="22"/>
        </w:rPr>
      </w:pPr>
      <w:r w:rsidRPr="00E40800">
        <w:rPr>
          <w:b/>
          <w:szCs w:val="22"/>
        </w:rPr>
        <w:t>Investimi</w:t>
      </w:r>
    </w:p>
    <w:p w:rsidR="00FB4703" w:rsidRPr="00E40800" w:rsidRDefault="00FB4703" w:rsidP="00FB4703">
      <w:pPr>
        <w:pStyle w:val="Paragrafi"/>
        <w:rPr>
          <w:szCs w:val="22"/>
        </w:rPr>
      </w:pPr>
      <w:r w:rsidRPr="00E40800">
        <w:rPr>
          <w:szCs w:val="22"/>
        </w:rPr>
        <w:t>Në zbatim të VKM nr.632, datë 4.10.2004 “Për miratimin e dokumentit për politikat e decentralizimit  në sektorin e arsimit paraunivesritar”, në buxhetin e 12 bashkive qendër qarku dhe në 12 qarqet për njësitë  e tjera të qeverisjes vendore për vitin buxhetor 2005 do të jetë një zë i veçantë i Buxhetit të Shtetit “Granti i kushtëzuar për ndërtim, rikonstruksion dhe pajisje të mjediseve të arsimit parauniversitar”, i cili paraqitet në një aneks të veçantë të ligjit. Bashkitë qendër qarku për investimet në territoret e tyre dhe këshillat e qarqeve  për investimet në territoret e komunave dhe bashkive jo qendër qarku janë përgjegjëse për përdorimin e këtij buxheti.</w:t>
      </w:r>
    </w:p>
    <w:p w:rsidR="00FB4703" w:rsidRPr="00E40800" w:rsidRDefault="00FB4703" w:rsidP="00FB4703">
      <w:pPr>
        <w:pStyle w:val="Paragrafi"/>
        <w:rPr>
          <w:szCs w:val="22"/>
        </w:rPr>
      </w:pPr>
      <w:r w:rsidRPr="00E40800">
        <w:rPr>
          <w:szCs w:val="22"/>
        </w:rPr>
        <w:t>Njësitë  e qeverisjes vendore mund të financojnë nga të ardhurat e veta për ndërtim,  rikonstruksion dhe pajisje të kopshteve dhe shkollave të arsimit parauniversitar. Bashkitë qendër qarku dhe këshillat e qarqeve përgjigjen për realizimin e investimeve të reja ndërtimore, riparimet kapitale dhe paisjet e mjediseve të arsimit parauniversitar me fonde  nga Buxheti i Shtetit, fondet e veta ose nga donatorët, mbi bazën e planit vjetor dhe duke respektuar standardet e vendosura nga Ministria e Arsimit dhe Shkencës.</w:t>
      </w:r>
    </w:p>
    <w:p w:rsidR="00FB4703" w:rsidRPr="00E40800" w:rsidRDefault="00FB4703" w:rsidP="00FB4703">
      <w:pPr>
        <w:pStyle w:val="Paragrafi"/>
        <w:rPr>
          <w:szCs w:val="22"/>
        </w:rPr>
      </w:pPr>
      <w:r w:rsidRPr="00E40800">
        <w:rPr>
          <w:szCs w:val="22"/>
        </w:rPr>
        <w:t xml:space="preserve">Ministria e Arsimit dhe Shkencës monitoron dhe kontrollon zbatimin e standardeve të vendosura nga ajo për rikonstruksion, ndërtim dhe pajisje të mjediseve të arsimit parauniversitar. </w:t>
      </w:r>
    </w:p>
    <w:p w:rsidR="00FB4703" w:rsidRPr="00E40800" w:rsidRDefault="00FB4703" w:rsidP="00FB4703">
      <w:pPr>
        <w:pStyle w:val="Paragrafi"/>
        <w:rPr>
          <w:szCs w:val="22"/>
        </w:rPr>
      </w:pPr>
      <w:r w:rsidRPr="00E40800">
        <w:rPr>
          <w:szCs w:val="22"/>
        </w:rPr>
        <w:t xml:space="preserve">Ministri i Arsimit dhe Shkencës, Ministri i Financave dhe Ministri i Pushtetit Vendor dhe Decentralizimit, për procedurat e miratimit dhe zbatimit të buxhetit të investimeve për rikonstruksion, ndërtim dhe pajisje të mjediseve të arsimit parauniversitar, nxjerrin një udhëzim të veçantë. </w:t>
      </w:r>
    </w:p>
    <w:p w:rsidR="00FB4703" w:rsidRPr="00E40800" w:rsidRDefault="00FB4703" w:rsidP="00FB4703">
      <w:pPr>
        <w:pStyle w:val="Paragrafi"/>
        <w:rPr>
          <w:b/>
          <w:szCs w:val="22"/>
        </w:rPr>
      </w:pPr>
    </w:p>
    <w:p w:rsidR="00FB4703" w:rsidRPr="00E40800" w:rsidRDefault="00FB4703" w:rsidP="00FB4703">
      <w:pPr>
        <w:pStyle w:val="Paragrafi"/>
        <w:rPr>
          <w:b/>
          <w:szCs w:val="22"/>
        </w:rPr>
      </w:pPr>
      <w:r w:rsidRPr="00E40800">
        <w:rPr>
          <w:b/>
          <w:szCs w:val="22"/>
        </w:rPr>
        <w:t>2. SEKTORI I KUJDESIT PARËSOR SHËNDETËSOR:</w:t>
      </w:r>
    </w:p>
    <w:p w:rsidR="00FB4703" w:rsidRPr="00E40800" w:rsidRDefault="00FB4703" w:rsidP="00FB4703">
      <w:pPr>
        <w:pStyle w:val="Paragrafi"/>
        <w:rPr>
          <w:szCs w:val="22"/>
        </w:rPr>
      </w:pPr>
      <w:r w:rsidRPr="00E40800">
        <w:rPr>
          <w:szCs w:val="22"/>
        </w:rPr>
        <w:t xml:space="preserve"> </w:t>
      </w:r>
    </w:p>
    <w:p w:rsidR="00FB4703" w:rsidRPr="00E40800" w:rsidRDefault="00FB4703" w:rsidP="00FB4703">
      <w:pPr>
        <w:pStyle w:val="Paragrafi"/>
        <w:rPr>
          <w:szCs w:val="22"/>
        </w:rPr>
      </w:pPr>
      <w:r w:rsidRPr="00E40800">
        <w:rPr>
          <w:szCs w:val="22"/>
        </w:rPr>
        <w:t>Pagesa e pagave të personelit: Bashkitë dhe komunat autorizohen të bëjnë pagesën e pagave të punonjësve të personelit që punon në qendrat shëndetësore publike dhe poliklinikat në komunitetin e tyre sipas normave, mënyrës dhe afateve të përcaktuara. Bashkitë dhe komunat e përmbushin këtë funksion si një shërbim administrativ. Ministria e Shëndetësisë jep të gjitha fondet e kërkuara për të paguar pagat e personelit. Bashkitë dhe komunat përdorin fondet e marra nga ky delegim vetëm për pagat e personelit sipas afateve të përcaktuara nga Ministria e Shëndetësisë. Bashkitë dhe komunat nuk duhet të japin ndonjë fond nga buxheti i tyre për këtë qëllim. Shpenzimet për pagat e personelit, nuk përbëjnë një shpenzim për bashkitë dhe komunat.</w:t>
      </w:r>
    </w:p>
    <w:p w:rsidR="00FB4703" w:rsidRPr="00E40800" w:rsidRDefault="00FB4703" w:rsidP="00FB4703">
      <w:pPr>
        <w:pStyle w:val="Paragrafi"/>
        <w:rPr>
          <w:szCs w:val="22"/>
        </w:rPr>
      </w:pPr>
    </w:p>
    <w:p w:rsidR="00FB4703" w:rsidRPr="00E40800" w:rsidRDefault="00FB4703" w:rsidP="00FB4703">
      <w:pPr>
        <w:pStyle w:val="Paragrafi"/>
        <w:rPr>
          <w:b/>
          <w:szCs w:val="22"/>
        </w:rPr>
      </w:pPr>
      <w:r w:rsidRPr="00E40800">
        <w:rPr>
          <w:b/>
          <w:szCs w:val="22"/>
        </w:rPr>
        <w:t xml:space="preserve">Funksionimi dhe mirëmbajtja e mjediseve të shërbimet parësor shëndetësor  </w:t>
      </w:r>
    </w:p>
    <w:p w:rsidR="00FB4703" w:rsidRPr="00E40800" w:rsidRDefault="00FB4703" w:rsidP="00FB4703">
      <w:pPr>
        <w:pStyle w:val="Paragrafi"/>
        <w:rPr>
          <w:szCs w:val="22"/>
        </w:rPr>
      </w:pPr>
      <w:r w:rsidRPr="00E40800">
        <w:rPr>
          <w:szCs w:val="22"/>
        </w:rPr>
        <w:t>Fondet për mirambajtjen e mjediseve të shërbimit parësor shëndetësor dhe për shpenzimet e tjera operative shpërndahen nga Ministria e Shëndetësisë nëpërmjet institucioneve të saj si fonde të deleguara.</w:t>
      </w:r>
    </w:p>
    <w:p w:rsidR="00FB4703" w:rsidRPr="00E40800" w:rsidRDefault="00FB4703" w:rsidP="00FB4703">
      <w:pPr>
        <w:pStyle w:val="Paragrafi"/>
        <w:rPr>
          <w:szCs w:val="22"/>
        </w:rPr>
      </w:pPr>
    </w:p>
    <w:p w:rsidR="00FB4703" w:rsidRPr="00E40800" w:rsidRDefault="00FB4703" w:rsidP="00FB4703">
      <w:pPr>
        <w:pStyle w:val="Paragrafi"/>
        <w:rPr>
          <w:b/>
          <w:szCs w:val="22"/>
        </w:rPr>
      </w:pPr>
      <w:r w:rsidRPr="00E40800">
        <w:rPr>
          <w:b/>
          <w:szCs w:val="22"/>
        </w:rPr>
        <w:t>Investimi</w:t>
      </w:r>
    </w:p>
    <w:p w:rsidR="00FB4703" w:rsidRPr="00E40800" w:rsidRDefault="00FB4703" w:rsidP="00FB4703">
      <w:pPr>
        <w:pStyle w:val="Paragrafi"/>
        <w:rPr>
          <w:szCs w:val="22"/>
        </w:rPr>
      </w:pPr>
      <w:r w:rsidRPr="00E40800">
        <w:rPr>
          <w:szCs w:val="22"/>
        </w:rPr>
        <w:t>Në zbatim të VKM nr.636, date 30.09.2004 “Për miratimin e dokumentit të politikave të decentralizimit  në fushën e kujdesit shëndetësor parësor dhe mbrojtjen e shëndetit publik”, në buxhetin e 12 qarqeve për njësitë e qeverisjes vendore për vitin buxhetor 2005 do të jetë një zë i veçantë i Buxhetit të Shtetit “Granti i kushtëzuar për ndërtim dhe rikonstruksion të qendrave shëndetësore  dhe ambulancave për shërbimin parësor shëndetësor ”, i cili paraqitet në një aneks të veçantë të ligjit. Këshillat e qarqeve  për investimet në territoret e komunave dhe bashkive  janë përgjegjëse për përdorimin e këtij buxheti.</w:t>
      </w:r>
    </w:p>
    <w:p w:rsidR="00FB4703" w:rsidRPr="00E40800" w:rsidRDefault="00FB4703" w:rsidP="00FB4703">
      <w:pPr>
        <w:pStyle w:val="Paragrafi"/>
        <w:rPr>
          <w:szCs w:val="22"/>
        </w:rPr>
      </w:pPr>
      <w:r w:rsidRPr="00E40800">
        <w:rPr>
          <w:szCs w:val="22"/>
        </w:rPr>
        <w:t>Njësitë e qeverisjes vendore mund të financojnë nga të ardhurat e veta për ndërtimin dhe rikonstruksionin e qendrave shëndetësore  dhe ambulancave të shërbimit parësor shëndetësor. Këshillat e qarqeve përgjigjen për realizimin e investimeve të reja ndërtimore dhe riparimet kapitale me fonde  nga Buxheti i Shtetit, fondet e veta ose nga donatorët, mbi bazën e planit vjetor dhe duke respektuar standardet e vendosura nga Ministria e Shëndetësisë.</w:t>
      </w:r>
    </w:p>
    <w:p w:rsidR="00FB4703" w:rsidRPr="00E40800" w:rsidRDefault="00FB4703" w:rsidP="00FB4703">
      <w:pPr>
        <w:pStyle w:val="Paragrafi"/>
        <w:rPr>
          <w:szCs w:val="22"/>
        </w:rPr>
      </w:pPr>
      <w:r w:rsidRPr="00E40800">
        <w:rPr>
          <w:szCs w:val="22"/>
        </w:rPr>
        <w:t xml:space="preserve">Ministria e Shëndetësisë monitoron dhe kontrollon zbatimin e standarteve të vendosura nga ajo për rikonstruksion dhe ndërtim të qendrave shëndetësore  dhe ambulancave për shërbimin parësor shëndetësor. </w:t>
      </w:r>
    </w:p>
    <w:p w:rsidR="00FB4703" w:rsidRPr="00E40800" w:rsidRDefault="00FB4703" w:rsidP="00FB4703">
      <w:pPr>
        <w:pStyle w:val="Paragrafi"/>
        <w:rPr>
          <w:szCs w:val="22"/>
        </w:rPr>
      </w:pPr>
      <w:r w:rsidRPr="00E40800">
        <w:rPr>
          <w:szCs w:val="22"/>
        </w:rPr>
        <w:t xml:space="preserve">Ministri i Shëndetësisë, Ministri i Financave dhe Ministri i Pushtetit Vendor dhe Decentralizimit, për procedurat e miratimit dhe zbatimit të buxhetit të investimeve për rikonstruksion dhe ndërtim të qendrave shëndetësore dhe ambulancave të shërbimit parësor shëndetësor, nxjerrin një udhëzim të veçantë. </w:t>
      </w:r>
    </w:p>
    <w:p w:rsidR="00FB4703" w:rsidRPr="00E40800" w:rsidRDefault="00FB4703" w:rsidP="00FB4703">
      <w:pPr>
        <w:pStyle w:val="Paragrafi"/>
        <w:rPr>
          <w:szCs w:val="22"/>
        </w:rPr>
      </w:pPr>
    </w:p>
    <w:p w:rsidR="00FB4703" w:rsidRPr="00E40800" w:rsidRDefault="00FB4703" w:rsidP="00FB4703">
      <w:pPr>
        <w:pStyle w:val="Paragrafi"/>
        <w:rPr>
          <w:b/>
          <w:szCs w:val="22"/>
        </w:rPr>
      </w:pPr>
      <w:r w:rsidRPr="00E40800">
        <w:rPr>
          <w:b/>
          <w:szCs w:val="22"/>
        </w:rPr>
        <w:t>3. NDIHMA EKONOMIKE DHE SHËRBIMET E PËRKUJDESIT SHOQËROR:</w:t>
      </w:r>
    </w:p>
    <w:p w:rsidR="00FB4703" w:rsidRPr="00E40800" w:rsidRDefault="00FB4703" w:rsidP="00FB4703">
      <w:pPr>
        <w:pStyle w:val="Paragrafi"/>
        <w:rPr>
          <w:szCs w:val="22"/>
        </w:rPr>
      </w:pPr>
    </w:p>
    <w:p w:rsidR="00FB4703" w:rsidRPr="00E40800" w:rsidRDefault="00FB4703" w:rsidP="00FB4703">
      <w:pPr>
        <w:pStyle w:val="Paragrafi"/>
        <w:rPr>
          <w:szCs w:val="22"/>
        </w:rPr>
      </w:pPr>
      <w:r w:rsidRPr="00E40800">
        <w:rPr>
          <w:szCs w:val="22"/>
        </w:rPr>
        <w:t>Fondet për ndihmën ekonomike</w:t>
      </w:r>
    </w:p>
    <w:p w:rsidR="00FB4703" w:rsidRPr="00E40800" w:rsidRDefault="00FB4703" w:rsidP="00FB4703">
      <w:pPr>
        <w:pStyle w:val="Paragrafi"/>
        <w:rPr>
          <w:szCs w:val="22"/>
        </w:rPr>
      </w:pPr>
      <w:r w:rsidRPr="00E40800">
        <w:rPr>
          <w:szCs w:val="22"/>
        </w:rPr>
        <w:t>Në zbatim të VKM nr.637, datë 30.09.2004 “Për miratimin e dokumentit të politikave të decentralizimit  në fushën e ndihmës ekonomike dhe të shërbimeve të përkujdesit shoqëror”, fondet e ndihmës ekonomike  në buxhetin e vitit 2005  janë   fonde të kushtëzuara në kesh për familjet në nevojë,  si  dhe fonde të kushtëzuara për punë e shërbime në komunitet.</w:t>
      </w:r>
    </w:p>
    <w:p w:rsidR="00FB4703" w:rsidRPr="00E40800" w:rsidRDefault="00FB4703" w:rsidP="00FB4703">
      <w:pPr>
        <w:pStyle w:val="Paragrafi"/>
        <w:rPr>
          <w:szCs w:val="22"/>
        </w:rPr>
      </w:pPr>
      <w:r w:rsidRPr="00E40800">
        <w:rPr>
          <w:szCs w:val="22"/>
        </w:rPr>
        <w:t>Në bazë të kërkesave të paraqitura nga njësitë e qeverisjes vendore për vitin 2005,  Ministria e Punës dhe Çështjeve Sociale  programon në fillim të vitit  fondet e ndihmës ekonomike (ndihmë në kesh për familjet në nevojë ose për punë dhe shërbime në komunitet)  për çdo njësi të qeverisjes vendore.</w:t>
      </w:r>
    </w:p>
    <w:p w:rsidR="00FB4703" w:rsidRPr="00E40800" w:rsidRDefault="00FB4703" w:rsidP="00FB4703">
      <w:pPr>
        <w:pStyle w:val="Paragrafi"/>
        <w:rPr>
          <w:lang w:val="it-IT"/>
        </w:rPr>
      </w:pPr>
      <w:r w:rsidRPr="00E40800">
        <w:rPr>
          <w:lang w:val="it-IT"/>
        </w:rPr>
        <w:t>Ministria e Punës dhe Çështjeve Sociale  i delegon fondet e ndihmës ekonomike si grante të kushtëzuara për çdo njësi të qeverisjes vendore që në fillim të vitit.</w:t>
      </w:r>
    </w:p>
    <w:p w:rsidR="00FB4703" w:rsidRPr="00B951E3" w:rsidRDefault="00FB4703" w:rsidP="00FB4703">
      <w:pPr>
        <w:pStyle w:val="Paragrafi"/>
      </w:pPr>
      <w:r>
        <w:t xml:space="preserve">- </w:t>
      </w:r>
      <w:r w:rsidRPr="00B951E3">
        <w:t xml:space="preserve">Ministria e Punës dhe Çështjeve Sociale çel në thesar, një herë në dy muaj, fondet që do t’u shpërndahen në kesh familjeve në nevojë nga bashkitë dhe komunat. </w:t>
      </w:r>
    </w:p>
    <w:p w:rsidR="00FB4703" w:rsidRPr="00B951E3" w:rsidRDefault="00FB4703" w:rsidP="00FB4703">
      <w:pPr>
        <w:pStyle w:val="Paragrafi"/>
      </w:pPr>
      <w:r>
        <w:t xml:space="preserve">- </w:t>
      </w:r>
      <w:r w:rsidRPr="00B951E3">
        <w:t>Fondet e ndihmës ekonomike, të cilat destinohen në njësitë e qeverisjes vendore,  që kushtëzojnë ndihmën ekonomike me punë e shërbime në komunitet, me kohë të plotë ose të pjesshme, çelen një here në 4 muaj mbi bazën e vlerësimit të projekteve të paraqitura nga njësitë e qeverisjes vendore.</w:t>
      </w:r>
    </w:p>
    <w:p w:rsidR="00FB4703" w:rsidRPr="00E40800" w:rsidRDefault="00FB4703" w:rsidP="00FB4703">
      <w:pPr>
        <w:pStyle w:val="Paragrafi"/>
        <w:rPr>
          <w:lang w:val="pt-BR"/>
        </w:rPr>
      </w:pPr>
      <w:r w:rsidRPr="00E40800">
        <w:rPr>
          <w:lang w:val="pt-BR"/>
        </w:rPr>
        <w:t xml:space="preserve">Të gjitha fondet e kursyera si rezultat i përdorimit me efektivitet të ndihmës ekonomike do të jenë kompetencë e përdorimit të njësisë së qeverisjes vendore. </w:t>
      </w:r>
    </w:p>
    <w:p w:rsidR="00FB4703" w:rsidRPr="00E40800" w:rsidRDefault="00FB4703" w:rsidP="00FB4703">
      <w:pPr>
        <w:pStyle w:val="Paragrafi"/>
        <w:rPr>
          <w:lang w:val="pt-BR"/>
        </w:rPr>
      </w:pPr>
      <w:r w:rsidRPr="00E40800">
        <w:rPr>
          <w:lang w:val="pt-BR"/>
        </w:rPr>
        <w:t>Fondet e ndihmës ekonomike që shpërndahen në njësitë e qeverisjes vendore, bëhen të njohura për të gjitha bashkitë dhe komunat. Kriteret e parimet e përdorura për shpërndarjen e këtyre fondeve bëhen publike për të gjitha njësitë e qeverisjes vendore.</w:t>
      </w:r>
    </w:p>
    <w:p w:rsidR="00FB4703" w:rsidRPr="00E40800" w:rsidRDefault="00FB4703" w:rsidP="00FB4703">
      <w:pPr>
        <w:pStyle w:val="Paragrafi"/>
        <w:rPr>
          <w:lang w:val="pt-BR"/>
        </w:rPr>
      </w:pPr>
      <w:r w:rsidRPr="00E40800">
        <w:rPr>
          <w:lang w:val="pt-BR"/>
        </w:rPr>
        <w:t>Ministri i Punës dhe Çështjeve Sociale, Ministri i Financave dhe Ministri i Pushtetit Vendor dhe Decentralizimit për këtë qëllim nxjerrin një udhëzim të veçantë.</w:t>
      </w:r>
    </w:p>
    <w:p w:rsidR="00FB4703" w:rsidRPr="00E40800" w:rsidRDefault="00FB4703" w:rsidP="00FB4703">
      <w:pPr>
        <w:pStyle w:val="Paragrafi"/>
        <w:rPr>
          <w:b/>
          <w:lang w:val="pt-BR"/>
        </w:rPr>
      </w:pPr>
    </w:p>
    <w:p w:rsidR="00FB4703" w:rsidRPr="00E40800" w:rsidRDefault="00FB4703" w:rsidP="00FB4703">
      <w:pPr>
        <w:pStyle w:val="Paragrafi"/>
        <w:rPr>
          <w:b/>
          <w:lang w:val="it-IT"/>
        </w:rPr>
      </w:pPr>
      <w:r w:rsidRPr="00E40800">
        <w:rPr>
          <w:b/>
          <w:lang w:val="it-IT"/>
        </w:rPr>
        <w:t xml:space="preserve">Fondet për pagesën e personave me aftësi të kufizuar </w:t>
      </w:r>
    </w:p>
    <w:p w:rsidR="00FB4703" w:rsidRPr="00E40800" w:rsidRDefault="00FB4703" w:rsidP="00FB4703">
      <w:pPr>
        <w:pStyle w:val="Paragrafi"/>
        <w:rPr>
          <w:lang w:val="it-IT"/>
        </w:rPr>
      </w:pPr>
    </w:p>
    <w:p w:rsidR="00FB4703" w:rsidRPr="00E40800" w:rsidRDefault="00FB4703" w:rsidP="00FB4703">
      <w:pPr>
        <w:pStyle w:val="Paragrafi"/>
        <w:rPr>
          <w:lang w:val="pt-BR"/>
        </w:rPr>
      </w:pPr>
      <w:r w:rsidRPr="00E40800">
        <w:rPr>
          <w:lang w:val="pt-BR"/>
        </w:rPr>
        <w:t xml:space="preserve">Në bazë të vlerësimit të  kërkesave (nga komisionet mjeko-ligjore)  të paraqitura nga njësitë e qeverisjes vendore.  Ministria e Punës dhe Çështjeve Sociale  programon që në fillim të vitit  fondet për pagesën  e personave me aftësi të kufizuar për çdo bashki dhe komunë në formën e grantit të kushtëzuar. </w:t>
      </w:r>
    </w:p>
    <w:p w:rsidR="00FB4703" w:rsidRPr="00E40800" w:rsidRDefault="00FB4703" w:rsidP="00FB4703">
      <w:pPr>
        <w:pStyle w:val="Paragrafi"/>
        <w:rPr>
          <w:lang w:val="pt-BR"/>
        </w:rPr>
      </w:pPr>
      <w:r w:rsidRPr="00E40800">
        <w:rPr>
          <w:lang w:val="pt-BR"/>
        </w:rPr>
        <w:t>Çelja në thesar e fondeve për pagesën  e personave me aftësi të kufizuar bëhet nga Ministria e Punës dhe Çështjeve Sociale çdo 2 muaj mbi bazën e vlerësimit të komisioneve mjekësore.</w:t>
      </w:r>
    </w:p>
    <w:p w:rsidR="00FB4703" w:rsidRPr="00E40800" w:rsidRDefault="00FB4703" w:rsidP="00FB4703">
      <w:pPr>
        <w:pStyle w:val="Paragrafi"/>
        <w:rPr>
          <w:lang w:val="pt-BR"/>
        </w:rPr>
      </w:pPr>
      <w:r w:rsidRPr="00E40800">
        <w:rPr>
          <w:lang w:val="pt-BR"/>
        </w:rPr>
        <w:t>Fondet për pagesën  e personave me aftësi të kufizuar që shpërndahen në njësitë e qeverisjes vendore  bëhen të njohura për të gjitha bashkitë dhe komunat. Kriteret e parimet e përdorura për shpërndarjen e këtyre fondeve bëhen publike për të gjitha njësitë e qeverisjes vendore.</w:t>
      </w:r>
    </w:p>
    <w:p w:rsidR="00FB4703" w:rsidRPr="00E40800" w:rsidRDefault="00FB4703" w:rsidP="00FB4703">
      <w:pPr>
        <w:pStyle w:val="Paragrafi"/>
        <w:rPr>
          <w:sz w:val="16"/>
          <w:lang w:val="pt-BR"/>
        </w:rPr>
      </w:pPr>
    </w:p>
    <w:p w:rsidR="00FB4703" w:rsidRPr="00E40800" w:rsidRDefault="00FB4703" w:rsidP="00FB4703">
      <w:pPr>
        <w:pStyle w:val="Paragrafi"/>
        <w:rPr>
          <w:b/>
          <w:lang w:val="pt-BR"/>
        </w:rPr>
      </w:pPr>
      <w:r w:rsidRPr="00E40800">
        <w:rPr>
          <w:b/>
          <w:lang w:val="pt-BR"/>
        </w:rPr>
        <w:t xml:space="preserve">Fondet për përkujdesjen shoqërore </w:t>
      </w:r>
    </w:p>
    <w:p w:rsidR="00FB4703" w:rsidRPr="00E40800" w:rsidRDefault="00FB4703" w:rsidP="00FB4703">
      <w:pPr>
        <w:pStyle w:val="Paragrafi"/>
        <w:rPr>
          <w:lang w:val="pt-BR"/>
        </w:rPr>
      </w:pPr>
      <w:r w:rsidRPr="00E40800">
        <w:rPr>
          <w:lang w:val="pt-BR"/>
        </w:rPr>
        <w:t xml:space="preserve">Financimi i shërbimeve të përkujdesit shoqëror, që realizohen nga bashkitë komunat dhe qarku, do të bëhet nga Buxheti i Shtetit, si dhe të ardhurat vendore. Fondet nga Buxheti i Shtetit jepen në formën e grantit të kushtëzuar nga Ministria e Punës dhe Çështjeve Sociale që në fillim të vitit, në përputhje me vlerësimin e nevojave në bazë të kërkesave dhe projekteve të paraqitura nga njësitë e qeverisjes vendore dhe fondeve në dispozicion. </w:t>
      </w:r>
    </w:p>
    <w:p w:rsidR="00FB4703" w:rsidRPr="00E40800" w:rsidRDefault="00FB4703" w:rsidP="00FB4703">
      <w:pPr>
        <w:pStyle w:val="Paragrafi"/>
        <w:rPr>
          <w:lang w:val="pt-BR"/>
        </w:rPr>
      </w:pPr>
      <w:r w:rsidRPr="00E40800">
        <w:rPr>
          <w:lang w:val="pt-BR"/>
        </w:rPr>
        <w:t xml:space="preserve">Bashkitë dhe komunat administrojnë shërbimet e përkujdesit shoqëror për qendra të përkujdesit që u shërbejnë individëve, banorë të bashkisë ose komunës, si dhe shërbimet e përkujdesit për këta individë. </w:t>
      </w:r>
    </w:p>
    <w:p w:rsidR="00FB4703" w:rsidRPr="00E40800" w:rsidRDefault="00FB4703" w:rsidP="00FB4703">
      <w:pPr>
        <w:pStyle w:val="Paragrafi"/>
        <w:rPr>
          <w:lang w:val="pt-BR"/>
        </w:rPr>
      </w:pPr>
      <w:r w:rsidRPr="00E40800">
        <w:rPr>
          <w:lang w:val="pt-BR"/>
        </w:rPr>
        <w:t xml:space="preserve">Qarqet administrojnë shërbimet e përkujdesit shoqëror për qendra të përkujdesit që u shërbejnë individëve të disa njësive të qeverisjes vendore në përbërje të qarkut. </w:t>
      </w:r>
    </w:p>
    <w:p w:rsidR="00FB4703" w:rsidRPr="00E40800" w:rsidRDefault="00FB4703" w:rsidP="00FB4703">
      <w:pPr>
        <w:pStyle w:val="Paragrafi"/>
        <w:rPr>
          <w:lang w:val="pt-BR"/>
        </w:rPr>
      </w:pPr>
      <w:r w:rsidRPr="00E40800">
        <w:rPr>
          <w:lang w:val="pt-BR"/>
        </w:rPr>
        <w:t>Fondet për përkujdesin shoqëror që shpërndahen në njësitë e qeverisjes vendore bëhen të njohura për të gjitha bashkitë dhe komunat. Kriteret e parimet e përdorura për shpërndarjen e këtyre fondeve bëhen publike për të gjitha njësitë e qeverisjes vendore.</w:t>
      </w:r>
    </w:p>
    <w:p w:rsidR="00FB4703" w:rsidRPr="00E40800" w:rsidRDefault="00FB4703" w:rsidP="00FB4703">
      <w:pPr>
        <w:pStyle w:val="Paragrafi"/>
        <w:rPr>
          <w:sz w:val="14"/>
          <w:lang w:val="pt-BR"/>
        </w:rPr>
      </w:pPr>
    </w:p>
    <w:p w:rsidR="00FB4703" w:rsidRPr="00E40800" w:rsidRDefault="00FB4703" w:rsidP="00FB4703">
      <w:pPr>
        <w:pStyle w:val="Paragrafi"/>
        <w:rPr>
          <w:b/>
          <w:lang w:val="it-IT"/>
        </w:rPr>
      </w:pPr>
      <w:r w:rsidRPr="00E40800">
        <w:rPr>
          <w:b/>
          <w:lang w:val="it-IT"/>
        </w:rPr>
        <w:t xml:space="preserve">II. Fondet e shpërndara nga  ministritë e linjës  </w:t>
      </w:r>
    </w:p>
    <w:p w:rsidR="00FB4703" w:rsidRPr="00E40800" w:rsidRDefault="00FB4703" w:rsidP="00FB4703">
      <w:pPr>
        <w:pStyle w:val="Paragrafi"/>
        <w:rPr>
          <w:sz w:val="16"/>
          <w:lang w:val="it-IT"/>
        </w:rPr>
      </w:pPr>
    </w:p>
    <w:p w:rsidR="00FB4703" w:rsidRPr="00E40800" w:rsidRDefault="00FB4703" w:rsidP="00FB4703">
      <w:pPr>
        <w:pStyle w:val="Paragrafi"/>
        <w:rPr>
          <w:b/>
          <w:lang w:val="it-IT"/>
        </w:rPr>
      </w:pPr>
      <w:r w:rsidRPr="00E40800">
        <w:rPr>
          <w:b/>
          <w:lang w:val="it-IT"/>
        </w:rPr>
        <w:t>Sistemet e ujësjellësve të transferuar në pushtetin vendor dhe atyre në vazhdim që do të transferohen</w:t>
      </w:r>
    </w:p>
    <w:p w:rsidR="00FB4703" w:rsidRPr="00E40800" w:rsidRDefault="00FB4703" w:rsidP="00FB4703">
      <w:pPr>
        <w:pStyle w:val="Paragrafi"/>
        <w:rPr>
          <w:lang w:val="it-IT"/>
        </w:rPr>
      </w:pPr>
      <w:r w:rsidRPr="00E40800">
        <w:rPr>
          <w:lang w:val="it-IT"/>
        </w:rPr>
        <w:t>Ministria e Rregullimit të Territorit dhe Turizmit të bëjë shpërdarjen e subvencioneve për ndërmarrjet   e transferuara gjatë vitit 2004 dhe ato që do të transferohen në vitin 2005 në njësitë e qeverisjes vendore, sipas të njëjtave kritere dhe parime që zbatohen për të gjitha ndërmarrjet   e ujësjellësve.</w:t>
      </w:r>
    </w:p>
    <w:p w:rsidR="00FB4703" w:rsidRPr="00E40800" w:rsidRDefault="00FB4703" w:rsidP="00FB4703">
      <w:pPr>
        <w:pStyle w:val="Paragrafi"/>
        <w:rPr>
          <w:lang w:val="pt-BR"/>
        </w:rPr>
      </w:pPr>
      <w:r w:rsidRPr="00E40800">
        <w:rPr>
          <w:lang w:val="pt-BR"/>
        </w:rPr>
        <w:t>Subvencionet për sistemet e transferuara të bëhen të njohura për të gjitha bashkitë dhe komunat.</w:t>
      </w:r>
    </w:p>
    <w:p w:rsidR="00FB4703" w:rsidRPr="00E40800" w:rsidRDefault="00FB4703" w:rsidP="00FB4703">
      <w:pPr>
        <w:pStyle w:val="Paragrafi"/>
        <w:rPr>
          <w:sz w:val="18"/>
          <w:lang w:val="pt-BR"/>
        </w:rPr>
      </w:pPr>
      <w:r w:rsidRPr="00E40800">
        <w:rPr>
          <w:lang w:val="pt-BR"/>
        </w:rPr>
        <w:t xml:space="preserve"> </w:t>
      </w:r>
    </w:p>
    <w:p w:rsidR="00FB4703" w:rsidRPr="00E40800" w:rsidRDefault="00FB4703" w:rsidP="00FB4703">
      <w:pPr>
        <w:pStyle w:val="Paragrafi"/>
        <w:rPr>
          <w:b/>
          <w:lang w:val="pt-BR"/>
        </w:rPr>
      </w:pPr>
      <w:r w:rsidRPr="00E40800">
        <w:rPr>
          <w:b/>
          <w:lang w:val="pt-BR"/>
        </w:rPr>
        <w:t>Investimet për funksione të veta të pushtetit vendor</w:t>
      </w:r>
    </w:p>
    <w:p w:rsidR="00FB4703" w:rsidRPr="00E40800" w:rsidRDefault="00FB4703" w:rsidP="00FB4703">
      <w:pPr>
        <w:pStyle w:val="Paragrafi"/>
        <w:rPr>
          <w:lang w:val="pt-BR"/>
        </w:rPr>
      </w:pPr>
      <w:r w:rsidRPr="00E40800">
        <w:rPr>
          <w:lang w:val="pt-BR"/>
        </w:rPr>
        <w:t>Fondet për investime për funksione të veta të qeverisjes vendore që shpërndahen nga ministritë e linjës  për pushtetin vendor të bëhen publike për të gjitha bashkitë dhe komunat.</w:t>
      </w:r>
    </w:p>
    <w:p w:rsidR="00FB4703" w:rsidRPr="00E40800" w:rsidRDefault="00FB4703" w:rsidP="00FB4703">
      <w:pPr>
        <w:pStyle w:val="Paragrafi"/>
        <w:rPr>
          <w:lang w:val="pt-BR"/>
        </w:rPr>
      </w:pPr>
      <w:r w:rsidRPr="00E40800">
        <w:rPr>
          <w:lang w:val="pt-BR"/>
        </w:rPr>
        <w:t>Kriteret e parimet e përdorura për shpërndarjen e fondeve për investime të bëhen publike për të gjitha njësitë e qeverisjes vendore.</w:t>
      </w:r>
    </w:p>
    <w:p w:rsidR="00FB4703" w:rsidRPr="00E40800" w:rsidRDefault="00FB4703" w:rsidP="00FB4703">
      <w:pPr>
        <w:pStyle w:val="Paragrafi"/>
        <w:rPr>
          <w:lang w:val="pt-BR"/>
        </w:rPr>
        <w:sectPr w:rsidR="00FB4703" w:rsidRPr="00E40800" w:rsidSect="00FB4703">
          <w:footerReference w:type="even" r:id="rId7"/>
          <w:footerReference w:type="default" r:id="rId8"/>
          <w:pgSz w:w="11907" w:h="16840" w:code="9"/>
          <w:pgMar w:top="1418" w:right="1418" w:bottom="1418" w:left="1418" w:header="1304" w:footer="1134" w:gutter="0"/>
          <w:pgNumType w:start="6921"/>
          <w:cols w:space="720"/>
          <w:noEndnote/>
          <w:docGrid w:linePitch="326" w:charSpace="47288"/>
        </w:sectPr>
      </w:pPr>
    </w:p>
    <w:p w:rsidR="00FB4703" w:rsidRPr="00CC25EB" w:rsidRDefault="00FB4703" w:rsidP="00FB4703">
      <w:pPr>
        <w:pStyle w:val="Aneksi"/>
        <w:rPr>
          <w:b/>
          <w:bCs/>
        </w:rPr>
      </w:pPr>
      <w:r w:rsidRPr="00CC25EB">
        <w:rPr>
          <w:b/>
          <w:bCs/>
        </w:rPr>
        <w:t>Aneksi 3/1</w:t>
      </w:r>
    </w:p>
    <w:p w:rsidR="00FB4703" w:rsidRPr="00E40800" w:rsidRDefault="00FB4703" w:rsidP="00FB4703">
      <w:pPr>
        <w:pStyle w:val="Paragrafi"/>
      </w:pPr>
    </w:p>
    <w:p w:rsidR="00FB4703" w:rsidRPr="00E40800" w:rsidRDefault="00FB4703" w:rsidP="00FB4703">
      <w:pPr>
        <w:pStyle w:val="AneksiTitull"/>
      </w:pPr>
      <w:r w:rsidRPr="00E40800">
        <w:t>GRANT I KUSHTEZUAR PER NDERTIM  RIKONSTRUKSION DHE TE ARSIMIT PARAUNIVERSITAR</w:t>
      </w:r>
      <w:r>
        <w:t xml:space="preserve"> </w:t>
      </w:r>
      <w:r w:rsidRPr="00E40800">
        <w:t>PER VITIN 2005, NE NIVEL BASHKIE QENDER QARKU</w:t>
      </w:r>
    </w:p>
    <w:p w:rsidR="00FB4703" w:rsidRPr="00E40800" w:rsidRDefault="00FB4703" w:rsidP="00FB4703">
      <w:pPr>
        <w:pStyle w:val="Paragrafi"/>
      </w:pPr>
    </w:p>
    <w:p w:rsidR="00FB4703" w:rsidRPr="00E40800" w:rsidRDefault="00FB4703" w:rsidP="00FB4703">
      <w:pPr>
        <w:pStyle w:val="Paragrafi"/>
      </w:pPr>
    </w:p>
    <w:tbl>
      <w:tblPr>
        <w:tblW w:w="0" w:type="auto"/>
        <w:tblInd w:w="-14" w:type="dxa"/>
        <w:tblLayout w:type="fixed"/>
        <w:tblCellMar>
          <w:left w:w="0" w:type="dxa"/>
          <w:right w:w="0" w:type="dxa"/>
        </w:tblCellMar>
        <w:tblLook w:val="0000" w:firstRow="0" w:lastRow="0" w:firstColumn="0" w:lastColumn="0" w:noHBand="0" w:noVBand="0"/>
      </w:tblPr>
      <w:tblGrid>
        <w:gridCol w:w="540"/>
        <w:gridCol w:w="1340"/>
        <w:gridCol w:w="3040"/>
        <w:gridCol w:w="2306"/>
        <w:gridCol w:w="2048"/>
        <w:gridCol w:w="852"/>
        <w:gridCol w:w="2246"/>
        <w:gridCol w:w="894"/>
      </w:tblGrid>
      <w:tr w:rsidR="00FB4703" w:rsidRPr="00E40800">
        <w:tblPrEx>
          <w:tblCellMar>
            <w:top w:w="0" w:type="dxa"/>
            <w:left w:w="0" w:type="dxa"/>
            <w:bottom w:w="0" w:type="dxa"/>
            <w:right w:w="0" w:type="dxa"/>
          </w:tblCellMar>
        </w:tblPrEx>
        <w:trPr>
          <w:cantSplit/>
          <w:trHeight w:val="330"/>
        </w:trPr>
        <w:tc>
          <w:tcPr>
            <w:tcW w:w="540" w:type="dxa"/>
            <w:vMerge w:val="restart"/>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r w:rsidRPr="00E40800">
              <w:t>Nr</w:t>
            </w:r>
          </w:p>
        </w:tc>
        <w:tc>
          <w:tcPr>
            <w:tcW w:w="1340" w:type="dxa"/>
            <w:vMerge w:val="restart"/>
            <w:tcBorders>
              <w:top w:val="double" w:sz="6" w:space="0" w:color="auto"/>
              <w:left w:val="single" w:sz="4" w:space="0" w:color="auto"/>
              <w:bottom w:val="nil"/>
              <w:right w:val="single" w:sz="4" w:space="0" w:color="auto"/>
            </w:tcBorders>
            <w:vAlign w:val="center"/>
          </w:tcPr>
          <w:p w:rsidR="00FB4703" w:rsidRPr="00E40800" w:rsidRDefault="00FB4703" w:rsidP="00FB4703">
            <w:pPr>
              <w:pStyle w:val="Tabele"/>
            </w:pPr>
            <w:r w:rsidRPr="00E40800">
              <w:t>Emertimi</w:t>
            </w:r>
          </w:p>
        </w:tc>
        <w:tc>
          <w:tcPr>
            <w:tcW w:w="3040" w:type="dxa"/>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 xml:space="preserve">Kuota Totale per </w:t>
            </w:r>
          </w:p>
        </w:tc>
        <w:tc>
          <w:tcPr>
            <w:tcW w:w="2306" w:type="dxa"/>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Detyrime nga viti</w:t>
            </w:r>
          </w:p>
        </w:tc>
        <w:tc>
          <w:tcPr>
            <w:tcW w:w="2900" w:type="dxa"/>
            <w:gridSpan w:val="2"/>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Kuota per tu shperndare</w:t>
            </w:r>
          </w:p>
        </w:tc>
        <w:tc>
          <w:tcPr>
            <w:tcW w:w="3140" w:type="dxa"/>
            <w:gridSpan w:val="2"/>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Kuota per tu shperndare</w:t>
            </w:r>
          </w:p>
        </w:tc>
      </w:tr>
      <w:tr w:rsidR="00FB4703"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1340" w:type="dxa"/>
            <w:vMerge/>
            <w:tcBorders>
              <w:top w:val="double" w:sz="6" w:space="0" w:color="auto"/>
              <w:left w:val="single" w:sz="4" w:space="0" w:color="auto"/>
              <w:bottom w:val="nil"/>
              <w:right w:val="single" w:sz="4" w:space="0" w:color="auto"/>
            </w:tcBorders>
            <w:vAlign w:val="center"/>
          </w:tcPr>
          <w:p w:rsidR="00FB4703" w:rsidRPr="00E40800" w:rsidRDefault="00FB4703" w:rsidP="00FB4703">
            <w:pPr>
              <w:pStyle w:val="Tabele"/>
            </w:pP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Bashkine, ne vitin 2005</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2004 per Bashkine</w:t>
            </w:r>
          </w:p>
        </w:tc>
        <w:tc>
          <w:tcPr>
            <w:tcW w:w="2900" w:type="dxa"/>
            <w:gridSpan w:val="2"/>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nga Bashkia per 2005</w:t>
            </w:r>
          </w:p>
        </w:tc>
        <w:tc>
          <w:tcPr>
            <w:tcW w:w="3140" w:type="dxa"/>
            <w:gridSpan w:val="2"/>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nga Bashkia per 2005</w:t>
            </w:r>
          </w:p>
        </w:tc>
      </w:tr>
      <w:tr w:rsidR="00FB4703"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1340" w:type="dxa"/>
            <w:vMerge w:val="restart"/>
            <w:tcBorders>
              <w:top w:val="nil"/>
              <w:left w:val="single" w:sz="4" w:space="0" w:color="auto"/>
              <w:bottom w:val="double" w:sz="6" w:space="0" w:color="000000"/>
              <w:right w:val="single" w:sz="4" w:space="0" w:color="auto"/>
            </w:tcBorders>
            <w:vAlign w:val="center"/>
          </w:tcPr>
          <w:p w:rsidR="00FB4703" w:rsidRPr="00E40800" w:rsidRDefault="00FB4703" w:rsidP="00FB4703">
            <w:pPr>
              <w:pStyle w:val="Tabele"/>
            </w:pPr>
            <w:r w:rsidRPr="00E40800">
              <w:t>i Bashkise</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Investime (Reab+Pajisje)</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Ndertim+Rikonst.</w:t>
            </w:r>
          </w:p>
        </w:tc>
        <w:tc>
          <w:tcPr>
            <w:tcW w:w="2900" w:type="dxa"/>
            <w:gridSpan w:val="2"/>
            <w:tcBorders>
              <w:top w:val="single" w:sz="4" w:space="0" w:color="auto"/>
              <w:left w:val="nil"/>
              <w:bottom w:val="single" w:sz="4" w:space="0" w:color="auto"/>
              <w:right w:val="single" w:sz="4" w:space="0" w:color="auto"/>
            </w:tcBorders>
            <w:vAlign w:val="bottom"/>
          </w:tcPr>
          <w:p w:rsidR="00FB4703" w:rsidRPr="00E40800" w:rsidRDefault="00FB4703" w:rsidP="00FB4703">
            <w:pPr>
              <w:pStyle w:val="Tabele"/>
            </w:pPr>
            <w:r w:rsidRPr="00E40800">
              <w:t>Ndertim+Rikonst</w:t>
            </w:r>
          </w:p>
        </w:tc>
        <w:tc>
          <w:tcPr>
            <w:tcW w:w="3140" w:type="dxa"/>
            <w:gridSpan w:val="2"/>
            <w:tcBorders>
              <w:top w:val="single" w:sz="4" w:space="0" w:color="auto"/>
              <w:left w:val="nil"/>
              <w:bottom w:val="single" w:sz="4" w:space="0" w:color="auto"/>
              <w:right w:val="single" w:sz="4" w:space="0" w:color="auto"/>
            </w:tcBorders>
            <w:vAlign w:val="bottom"/>
          </w:tcPr>
          <w:p w:rsidR="00FB4703" w:rsidRPr="00E40800" w:rsidRDefault="00FB4703" w:rsidP="00FB4703">
            <w:pPr>
              <w:pStyle w:val="Tabele"/>
            </w:pPr>
            <w:r w:rsidRPr="00E40800">
              <w:t>Pajisje</w:t>
            </w:r>
          </w:p>
        </w:tc>
      </w:tr>
      <w:tr w:rsidR="00FB4703" w:rsidRPr="00E40800">
        <w:tblPrEx>
          <w:tblCellMar>
            <w:top w:w="0" w:type="dxa"/>
            <w:left w:w="0" w:type="dxa"/>
            <w:bottom w:w="0" w:type="dxa"/>
            <w:right w:w="0" w:type="dxa"/>
          </w:tblCellMar>
        </w:tblPrEx>
        <w:trPr>
          <w:cantSplit/>
          <w:trHeight w:val="330"/>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1340" w:type="dxa"/>
            <w:vMerge/>
            <w:tcBorders>
              <w:top w:val="nil"/>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3040"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2306"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2048"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852"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w:t>
            </w:r>
          </w:p>
        </w:tc>
        <w:tc>
          <w:tcPr>
            <w:tcW w:w="2246"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894"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1</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Berat</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27,932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13,770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10,724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3,439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2</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Diber</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20,696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15,671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5</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5,025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5</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3</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Durres</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78,952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60,000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14,351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4</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4,602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4</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4</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Elbasan</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74,012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49,150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18,825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6</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6,036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6</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5</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Fier</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41,885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31,715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10</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10,170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10</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6</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Gjirokaster</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16,911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1,700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11,518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4</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3,693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4</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7</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Korce</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39,158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12,920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19,868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6</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6,371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6</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8</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Kukes</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20,713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15,684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5</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5,029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5</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9</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Lezhe</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39,607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26,400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10,000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3,207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10</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Shkoder</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87,319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38,710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36,807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11</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11,802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11</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11</w:t>
            </w:r>
          </w:p>
        </w:tc>
        <w:tc>
          <w:tcPr>
            <w:tcW w:w="13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B.Tirane</w:t>
            </w:r>
          </w:p>
        </w:tc>
        <w:tc>
          <w:tcPr>
            <w:tcW w:w="304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382,421 </w:t>
            </w:r>
          </w:p>
        </w:tc>
        <w:tc>
          <w:tcPr>
            <w:tcW w:w="23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242,740</w:t>
            </w:r>
          </w:p>
        </w:tc>
        <w:tc>
          <w:tcPr>
            <w:tcW w:w="2048"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105,766 </w:t>
            </w:r>
          </w:p>
        </w:tc>
        <w:tc>
          <w:tcPr>
            <w:tcW w:w="852"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33</w:t>
            </w:r>
          </w:p>
        </w:tc>
        <w:tc>
          <w:tcPr>
            <w:tcW w:w="224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33,915 </w:t>
            </w:r>
          </w:p>
        </w:tc>
        <w:tc>
          <w:tcPr>
            <w:tcW w:w="894"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33</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nil"/>
              <w:right w:val="single" w:sz="4" w:space="0" w:color="auto"/>
            </w:tcBorders>
            <w:vAlign w:val="bottom"/>
          </w:tcPr>
          <w:p w:rsidR="00FB4703" w:rsidRPr="00E40800" w:rsidRDefault="00FB4703" w:rsidP="00FB4703">
            <w:pPr>
              <w:pStyle w:val="Tabele"/>
            </w:pPr>
            <w:r w:rsidRPr="00E40800">
              <w:t>12</w:t>
            </w:r>
          </w:p>
        </w:tc>
        <w:tc>
          <w:tcPr>
            <w:tcW w:w="1340" w:type="dxa"/>
            <w:tcBorders>
              <w:top w:val="nil"/>
              <w:left w:val="nil"/>
              <w:bottom w:val="nil"/>
              <w:right w:val="single" w:sz="4" w:space="0" w:color="auto"/>
            </w:tcBorders>
            <w:vAlign w:val="bottom"/>
          </w:tcPr>
          <w:p w:rsidR="00FB4703" w:rsidRPr="00E40800" w:rsidRDefault="00FB4703" w:rsidP="00FB4703">
            <w:pPr>
              <w:pStyle w:val="Tabele"/>
            </w:pPr>
            <w:r w:rsidRPr="00E40800">
              <w:t>Vlore</w:t>
            </w:r>
          </w:p>
        </w:tc>
        <w:tc>
          <w:tcPr>
            <w:tcW w:w="3040"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75,967 </w:t>
            </w:r>
          </w:p>
        </w:tc>
        <w:tc>
          <w:tcPr>
            <w:tcW w:w="2306" w:type="dxa"/>
            <w:tcBorders>
              <w:top w:val="nil"/>
              <w:left w:val="nil"/>
              <w:bottom w:val="nil"/>
              <w:right w:val="single" w:sz="4" w:space="0" w:color="auto"/>
            </w:tcBorders>
            <w:vAlign w:val="bottom"/>
          </w:tcPr>
          <w:p w:rsidR="00FB4703" w:rsidRPr="00E40800" w:rsidRDefault="00FB4703" w:rsidP="00FB4703">
            <w:pPr>
              <w:pStyle w:val="Tabele"/>
            </w:pPr>
            <w:r w:rsidRPr="00E40800">
              <w:t>31,850</w:t>
            </w:r>
          </w:p>
        </w:tc>
        <w:tc>
          <w:tcPr>
            <w:tcW w:w="2048"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33,406 </w:t>
            </w:r>
          </w:p>
        </w:tc>
        <w:tc>
          <w:tcPr>
            <w:tcW w:w="852" w:type="dxa"/>
            <w:tcBorders>
              <w:top w:val="nil"/>
              <w:left w:val="nil"/>
              <w:bottom w:val="nil"/>
              <w:right w:val="single" w:sz="4" w:space="0" w:color="auto"/>
            </w:tcBorders>
            <w:vAlign w:val="bottom"/>
          </w:tcPr>
          <w:p w:rsidR="00FB4703" w:rsidRPr="00E40800" w:rsidRDefault="00FB4703" w:rsidP="00FB4703">
            <w:pPr>
              <w:pStyle w:val="Tabele"/>
            </w:pPr>
            <w:r w:rsidRPr="00E40800">
              <w:t>10</w:t>
            </w:r>
          </w:p>
        </w:tc>
        <w:tc>
          <w:tcPr>
            <w:tcW w:w="2246"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10,712 </w:t>
            </w:r>
          </w:p>
        </w:tc>
        <w:tc>
          <w:tcPr>
            <w:tcW w:w="894" w:type="dxa"/>
            <w:tcBorders>
              <w:top w:val="nil"/>
              <w:left w:val="nil"/>
              <w:bottom w:val="nil"/>
              <w:right w:val="single" w:sz="4" w:space="0" w:color="auto"/>
            </w:tcBorders>
            <w:vAlign w:val="bottom"/>
          </w:tcPr>
          <w:p w:rsidR="00FB4703" w:rsidRPr="00E40800" w:rsidRDefault="00FB4703" w:rsidP="00FB4703">
            <w:pPr>
              <w:pStyle w:val="Tabele"/>
            </w:pPr>
            <w:r w:rsidRPr="00E40800">
              <w:t>10</w:t>
            </w:r>
          </w:p>
        </w:tc>
      </w:tr>
      <w:tr w:rsidR="00FB4703" w:rsidRPr="00E40800">
        <w:tblPrEx>
          <w:tblCellMar>
            <w:top w:w="0" w:type="dxa"/>
            <w:left w:w="0" w:type="dxa"/>
            <w:bottom w:w="0" w:type="dxa"/>
            <w:right w:w="0" w:type="dxa"/>
          </w:tblCellMar>
        </w:tblPrEx>
        <w:trPr>
          <w:trHeight w:val="300"/>
        </w:trPr>
        <w:tc>
          <w:tcPr>
            <w:tcW w:w="540" w:type="dxa"/>
            <w:tcBorders>
              <w:top w:val="double" w:sz="6" w:space="0" w:color="auto"/>
              <w:left w:val="single" w:sz="4" w:space="0" w:color="auto"/>
              <w:bottom w:val="double" w:sz="6" w:space="0" w:color="auto"/>
              <w:right w:val="single" w:sz="4" w:space="0" w:color="auto"/>
            </w:tcBorders>
            <w:vAlign w:val="center"/>
          </w:tcPr>
          <w:p w:rsidR="00FB4703" w:rsidRPr="00E40800" w:rsidRDefault="00FB4703" w:rsidP="00FB4703">
            <w:pPr>
              <w:pStyle w:val="Tabele"/>
            </w:pPr>
            <w:r w:rsidRPr="00E40800">
              <w:t> </w:t>
            </w:r>
          </w:p>
        </w:tc>
        <w:tc>
          <w:tcPr>
            <w:tcW w:w="1340"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Totali</w:t>
            </w:r>
          </w:p>
        </w:tc>
        <w:tc>
          <w:tcPr>
            <w:tcW w:w="3040"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 xml:space="preserve">                                905,573 </w:t>
            </w:r>
          </w:p>
        </w:tc>
        <w:tc>
          <w:tcPr>
            <w:tcW w:w="2306"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 xml:space="preserve">                     477,240 </w:t>
            </w:r>
          </w:p>
        </w:tc>
        <w:tc>
          <w:tcPr>
            <w:tcW w:w="2048"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 xml:space="preserve">        324,335 </w:t>
            </w:r>
          </w:p>
        </w:tc>
        <w:tc>
          <w:tcPr>
            <w:tcW w:w="852"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100</w:t>
            </w:r>
          </w:p>
        </w:tc>
        <w:tc>
          <w:tcPr>
            <w:tcW w:w="2246"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 xml:space="preserve">         104,001 </w:t>
            </w:r>
          </w:p>
        </w:tc>
        <w:tc>
          <w:tcPr>
            <w:tcW w:w="894" w:type="dxa"/>
            <w:tcBorders>
              <w:top w:val="double" w:sz="6" w:space="0" w:color="auto"/>
              <w:left w:val="nil"/>
              <w:bottom w:val="double" w:sz="6" w:space="0" w:color="auto"/>
              <w:right w:val="single" w:sz="4" w:space="0" w:color="auto"/>
            </w:tcBorders>
            <w:vAlign w:val="center"/>
          </w:tcPr>
          <w:p w:rsidR="00FB4703" w:rsidRPr="00E40800" w:rsidRDefault="00FB4703" w:rsidP="00FB4703">
            <w:pPr>
              <w:pStyle w:val="Tabele"/>
            </w:pPr>
            <w:r w:rsidRPr="00E40800">
              <w:t>100</w:t>
            </w:r>
          </w:p>
        </w:tc>
      </w:tr>
    </w:tbl>
    <w:p w:rsidR="00FB4703" w:rsidRPr="00E40800" w:rsidRDefault="00FB4703" w:rsidP="00FB4703">
      <w:pPr>
        <w:pStyle w:val="Paragrafi"/>
      </w:pPr>
    </w:p>
    <w:p w:rsidR="00FB4703" w:rsidRPr="00E40800" w:rsidRDefault="00FB4703" w:rsidP="00FB4703">
      <w:pPr>
        <w:pStyle w:val="Paragrafi"/>
      </w:pPr>
      <w:r w:rsidRPr="00E40800">
        <w:t xml:space="preserve">Shenim: </w:t>
      </w:r>
    </w:p>
    <w:p w:rsidR="00FB4703" w:rsidRPr="00E40800" w:rsidRDefault="00FB4703" w:rsidP="00FB4703">
      <w:pPr>
        <w:pStyle w:val="Paragrafi"/>
        <w:rPr>
          <w:lang w:val="it-IT"/>
        </w:rPr>
      </w:pPr>
      <w:r w:rsidRPr="00E40800">
        <w:rPr>
          <w:lang w:val="it-IT"/>
        </w:rPr>
        <w:tab/>
      </w:r>
      <w:r w:rsidRPr="00E40800">
        <w:rPr>
          <w:lang w:val="it-IT"/>
        </w:rPr>
        <w:tab/>
        <w:t>Fondet e planifikuara per tu shperndare do te perdoren dhe per pajisje shkollore (tavolina, karrike etj.)</w:t>
      </w: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Default="00FB4703" w:rsidP="00FB4703">
      <w:pPr>
        <w:pStyle w:val="Paragrafi"/>
        <w:rPr>
          <w:lang w:val="it-IT"/>
        </w:rPr>
      </w:pPr>
    </w:p>
    <w:p w:rsidR="00FB4703" w:rsidRPr="00CC25EB" w:rsidRDefault="00FB4703" w:rsidP="00FB4703">
      <w:pPr>
        <w:pStyle w:val="Aneksi"/>
        <w:rPr>
          <w:b/>
          <w:bCs/>
        </w:rPr>
      </w:pPr>
      <w:r w:rsidRPr="00CC25EB">
        <w:rPr>
          <w:b/>
          <w:bCs/>
        </w:rPr>
        <w:t>Aneksi 3/1</w:t>
      </w:r>
    </w:p>
    <w:p w:rsidR="00FB4703" w:rsidRPr="00E40800" w:rsidRDefault="00FB4703" w:rsidP="00FB4703">
      <w:pPr>
        <w:pStyle w:val="Paragrafi"/>
        <w:rPr>
          <w:lang w:val="it-IT"/>
        </w:rPr>
      </w:pPr>
    </w:p>
    <w:p w:rsidR="00FB4703" w:rsidRPr="00E40800" w:rsidRDefault="00FB4703" w:rsidP="00FB4703">
      <w:pPr>
        <w:pStyle w:val="AneksiTitull"/>
      </w:pPr>
      <w:r w:rsidRPr="00E40800">
        <w:t>GRANT I KUSHTEZUAR PER NDERTIM  RIKONSTRUKSION DHE TE ARSIMIT PARAUNIVERSITAR</w:t>
      </w:r>
      <w:r>
        <w:t xml:space="preserve"> </w:t>
      </w:r>
      <w:r w:rsidRPr="00E40800">
        <w:t>PER VITIN 2005, NE NIVEL QARKU (</w:t>
      </w:r>
      <w:r w:rsidRPr="00B951E3">
        <w:t>pa bashkine qender qarku)</w:t>
      </w:r>
    </w:p>
    <w:p w:rsidR="00FB4703" w:rsidRPr="00E40800" w:rsidRDefault="00FB4703" w:rsidP="00FB4703">
      <w:pPr>
        <w:pStyle w:val="Paragrafi"/>
        <w:rPr>
          <w:lang w:val="it-IT"/>
        </w:rPr>
      </w:pPr>
    </w:p>
    <w:p w:rsidR="00FB4703" w:rsidRPr="00E40800" w:rsidRDefault="00FB4703" w:rsidP="00FB4703">
      <w:pPr>
        <w:pStyle w:val="Paragrafi"/>
        <w:rPr>
          <w:lang w:val="it-IT"/>
        </w:rPr>
      </w:pPr>
    </w:p>
    <w:p w:rsidR="00FB4703" w:rsidRPr="00E40800" w:rsidRDefault="00FB4703" w:rsidP="00FB4703">
      <w:pPr>
        <w:pStyle w:val="Paragrafi"/>
        <w:rPr>
          <w:lang w:val="it-IT"/>
        </w:rPr>
      </w:pPr>
    </w:p>
    <w:tbl>
      <w:tblPr>
        <w:tblW w:w="0" w:type="auto"/>
        <w:tblInd w:w="-519" w:type="dxa"/>
        <w:tblLayout w:type="fixed"/>
        <w:tblCellMar>
          <w:left w:w="0" w:type="dxa"/>
          <w:right w:w="0" w:type="dxa"/>
        </w:tblCellMar>
        <w:tblLook w:val="0000" w:firstRow="0" w:lastRow="0" w:firstColumn="0" w:lastColumn="0" w:noHBand="0" w:noVBand="0"/>
      </w:tblPr>
      <w:tblGrid>
        <w:gridCol w:w="540"/>
        <w:gridCol w:w="1280"/>
        <w:gridCol w:w="2906"/>
        <w:gridCol w:w="3106"/>
        <w:gridCol w:w="2189"/>
        <w:gridCol w:w="911"/>
        <w:gridCol w:w="2115"/>
        <w:gridCol w:w="905"/>
      </w:tblGrid>
      <w:tr w:rsidR="00FB4703" w:rsidRPr="00E40800">
        <w:tblPrEx>
          <w:tblCellMar>
            <w:top w:w="0" w:type="dxa"/>
            <w:left w:w="0" w:type="dxa"/>
            <w:bottom w:w="0" w:type="dxa"/>
            <w:right w:w="0" w:type="dxa"/>
          </w:tblCellMar>
        </w:tblPrEx>
        <w:trPr>
          <w:cantSplit/>
          <w:trHeight w:val="330"/>
        </w:trPr>
        <w:tc>
          <w:tcPr>
            <w:tcW w:w="540" w:type="dxa"/>
            <w:vMerge w:val="restart"/>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r w:rsidRPr="00E40800">
              <w:t>Nr</w:t>
            </w:r>
          </w:p>
        </w:tc>
        <w:tc>
          <w:tcPr>
            <w:tcW w:w="1280" w:type="dxa"/>
            <w:vMerge w:val="restart"/>
            <w:tcBorders>
              <w:top w:val="double" w:sz="6" w:space="0" w:color="auto"/>
              <w:left w:val="single" w:sz="4" w:space="0" w:color="auto"/>
              <w:bottom w:val="nil"/>
              <w:right w:val="single" w:sz="4" w:space="0" w:color="auto"/>
            </w:tcBorders>
            <w:vAlign w:val="center"/>
          </w:tcPr>
          <w:p w:rsidR="00FB4703" w:rsidRPr="00E40800" w:rsidRDefault="00FB4703" w:rsidP="00FB4703">
            <w:pPr>
              <w:pStyle w:val="Tabele"/>
            </w:pPr>
            <w:r w:rsidRPr="00E40800">
              <w:t>Emertimi</w:t>
            </w:r>
          </w:p>
        </w:tc>
        <w:tc>
          <w:tcPr>
            <w:tcW w:w="2906" w:type="dxa"/>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 xml:space="preserve">Kuota Totale per </w:t>
            </w:r>
          </w:p>
        </w:tc>
        <w:tc>
          <w:tcPr>
            <w:tcW w:w="3106" w:type="dxa"/>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Detyrime nga viti</w:t>
            </w:r>
          </w:p>
        </w:tc>
        <w:tc>
          <w:tcPr>
            <w:tcW w:w="3100" w:type="dxa"/>
            <w:gridSpan w:val="2"/>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Kuota per tu shperndare</w:t>
            </w:r>
          </w:p>
        </w:tc>
        <w:tc>
          <w:tcPr>
            <w:tcW w:w="3020" w:type="dxa"/>
            <w:gridSpan w:val="2"/>
            <w:tcBorders>
              <w:top w:val="double" w:sz="6" w:space="0" w:color="auto"/>
              <w:left w:val="nil"/>
              <w:bottom w:val="nil"/>
              <w:right w:val="single" w:sz="4" w:space="0" w:color="auto"/>
            </w:tcBorders>
            <w:vAlign w:val="bottom"/>
          </w:tcPr>
          <w:p w:rsidR="00FB4703" w:rsidRPr="00E40800" w:rsidRDefault="00FB4703" w:rsidP="00FB4703">
            <w:pPr>
              <w:pStyle w:val="Tabele"/>
            </w:pPr>
            <w:r w:rsidRPr="00E40800">
              <w:t>Kuota per tu shperndare</w:t>
            </w:r>
          </w:p>
        </w:tc>
      </w:tr>
      <w:tr w:rsidR="00FB4703"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1280" w:type="dxa"/>
            <w:vMerge/>
            <w:tcBorders>
              <w:top w:val="double" w:sz="6" w:space="0" w:color="auto"/>
              <w:left w:val="single" w:sz="4" w:space="0" w:color="auto"/>
              <w:bottom w:val="nil"/>
              <w:right w:val="single" w:sz="4" w:space="0" w:color="auto"/>
            </w:tcBorders>
            <w:vAlign w:val="center"/>
          </w:tcPr>
          <w:p w:rsidR="00FB4703" w:rsidRPr="00E40800" w:rsidRDefault="00FB4703" w:rsidP="00FB4703">
            <w:pPr>
              <w:pStyle w:val="Tabele"/>
            </w:pP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Qarkun, ne vitin 2005</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2004 per Qarkun</w:t>
            </w:r>
          </w:p>
        </w:tc>
        <w:tc>
          <w:tcPr>
            <w:tcW w:w="3100" w:type="dxa"/>
            <w:gridSpan w:val="2"/>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nga Qarku per 2005</w:t>
            </w:r>
          </w:p>
        </w:tc>
        <w:tc>
          <w:tcPr>
            <w:tcW w:w="3020" w:type="dxa"/>
            <w:gridSpan w:val="2"/>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nga Qarku per 2005</w:t>
            </w:r>
          </w:p>
        </w:tc>
      </w:tr>
      <w:tr w:rsidR="00FB4703"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1280" w:type="dxa"/>
            <w:vMerge w:val="restart"/>
            <w:tcBorders>
              <w:top w:val="nil"/>
              <w:left w:val="single" w:sz="4" w:space="0" w:color="auto"/>
              <w:bottom w:val="double" w:sz="6" w:space="0" w:color="000000"/>
              <w:right w:val="single" w:sz="4" w:space="0" w:color="auto"/>
            </w:tcBorders>
            <w:vAlign w:val="center"/>
          </w:tcPr>
          <w:p w:rsidR="00FB4703" w:rsidRPr="00E40800" w:rsidRDefault="00FB4703" w:rsidP="00FB4703">
            <w:pPr>
              <w:pStyle w:val="Tabele"/>
            </w:pPr>
            <w:r w:rsidRPr="00E40800">
              <w:t>i Qarkut</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Investime (Reab+Pajisje)</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Investime (Reab+Pajisje)</w:t>
            </w:r>
          </w:p>
        </w:tc>
        <w:tc>
          <w:tcPr>
            <w:tcW w:w="3100" w:type="dxa"/>
            <w:gridSpan w:val="2"/>
            <w:tcBorders>
              <w:top w:val="single" w:sz="4" w:space="0" w:color="auto"/>
              <w:left w:val="nil"/>
              <w:bottom w:val="single" w:sz="4" w:space="0" w:color="auto"/>
              <w:right w:val="single" w:sz="4" w:space="0" w:color="auto"/>
            </w:tcBorders>
            <w:vAlign w:val="bottom"/>
          </w:tcPr>
          <w:p w:rsidR="00FB4703" w:rsidRPr="00E40800" w:rsidRDefault="00FB4703" w:rsidP="00FB4703">
            <w:pPr>
              <w:pStyle w:val="Tabele"/>
            </w:pPr>
            <w:r w:rsidRPr="00E40800">
              <w:t>Investime (Reab+Pajisje)</w:t>
            </w:r>
          </w:p>
        </w:tc>
        <w:tc>
          <w:tcPr>
            <w:tcW w:w="3020" w:type="dxa"/>
            <w:gridSpan w:val="2"/>
            <w:tcBorders>
              <w:top w:val="single" w:sz="4" w:space="0" w:color="auto"/>
              <w:left w:val="nil"/>
              <w:bottom w:val="single" w:sz="4" w:space="0" w:color="auto"/>
              <w:right w:val="single" w:sz="4" w:space="0" w:color="auto"/>
            </w:tcBorders>
            <w:vAlign w:val="bottom"/>
          </w:tcPr>
          <w:p w:rsidR="00FB4703" w:rsidRPr="00E40800" w:rsidRDefault="00FB4703" w:rsidP="00FB4703">
            <w:pPr>
              <w:pStyle w:val="Tabele"/>
            </w:pPr>
            <w:r w:rsidRPr="00E40800">
              <w:t>Pajisje</w:t>
            </w:r>
          </w:p>
        </w:tc>
      </w:tr>
      <w:tr w:rsidR="00FB4703" w:rsidRPr="00E40800">
        <w:tblPrEx>
          <w:tblCellMar>
            <w:top w:w="0" w:type="dxa"/>
            <w:left w:w="0" w:type="dxa"/>
            <w:bottom w:w="0" w:type="dxa"/>
            <w:right w:w="0" w:type="dxa"/>
          </w:tblCellMar>
        </w:tblPrEx>
        <w:trPr>
          <w:cantSplit/>
          <w:trHeight w:val="330"/>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1280" w:type="dxa"/>
            <w:vMerge/>
            <w:tcBorders>
              <w:top w:val="nil"/>
              <w:left w:val="single" w:sz="4" w:space="0" w:color="auto"/>
              <w:bottom w:val="double" w:sz="6" w:space="0" w:color="000000"/>
              <w:right w:val="single" w:sz="4" w:space="0" w:color="auto"/>
            </w:tcBorders>
            <w:vAlign w:val="center"/>
          </w:tcPr>
          <w:p w:rsidR="00FB4703" w:rsidRPr="00E40800" w:rsidRDefault="00FB4703" w:rsidP="00FB4703">
            <w:pPr>
              <w:pStyle w:val="Tabele"/>
            </w:pPr>
          </w:p>
        </w:tc>
        <w:tc>
          <w:tcPr>
            <w:tcW w:w="2906"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3106"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2189"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911"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w:t>
            </w:r>
          </w:p>
        </w:tc>
        <w:tc>
          <w:tcPr>
            <w:tcW w:w="2115"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mije leke</w:t>
            </w:r>
          </w:p>
        </w:tc>
        <w:tc>
          <w:tcPr>
            <w:tcW w:w="905" w:type="dxa"/>
            <w:tcBorders>
              <w:top w:val="nil"/>
              <w:left w:val="nil"/>
              <w:bottom w:val="double" w:sz="6" w:space="0" w:color="auto"/>
              <w:right w:val="single" w:sz="4" w:space="0" w:color="auto"/>
            </w:tcBorders>
            <w:vAlign w:val="bottom"/>
          </w:tcPr>
          <w:p w:rsidR="00FB4703" w:rsidRPr="00E40800" w:rsidRDefault="00FB4703" w:rsidP="00FB4703">
            <w:pPr>
              <w:pStyle w:val="Tabele"/>
            </w:pPr>
            <w:r w:rsidRPr="00E40800">
              <w:t>ne %</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1</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Berat</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62,236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7,865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40,943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9</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13,428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9</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2</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Diber</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37,330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3,340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25,596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5</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8,394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5</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3</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Durres</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56,098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18,230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28,516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6</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9,352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6</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4</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Elbasan</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140,163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80,615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44,841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9</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14,706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9</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5</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Fier</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96,516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54,086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31,951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7</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10,479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7</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6</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Gjirokaster</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33,984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6,165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20,948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4</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6,870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4</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7</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Korce</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102,506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57,090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34,200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7</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11,216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7</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8</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Kukes</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18,292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2,380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11,982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3,930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3</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9</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Lezhe</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59,792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25,709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25,666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5</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8,417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5</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10</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Shkoder</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103,397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57,105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34,860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8</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11,433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8</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FB4703" w:rsidRPr="00E40800" w:rsidRDefault="00FB4703" w:rsidP="00FB4703">
            <w:pPr>
              <w:pStyle w:val="Tabele"/>
            </w:pPr>
            <w:r w:rsidRPr="00E40800">
              <w:t>11</w:t>
            </w:r>
          </w:p>
        </w:tc>
        <w:tc>
          <w:tcPr>
            <w:tcW w:w="1280"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B.Tirane</w:t>
            </w:r>
          </w:p>
        </w:tc>
        <w:tc>
          <w:tcPr>
            <w:tcW w:w="29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376,776 </w:t>
            </w:r>
          </w:p>
        </w:tc>
        <w:tc>
          <w:tcPr>
            <w:tcW w:w="3106"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175,590 </w:t>
            </w:r>
          </w:p>
        </w:tc>
        <w:tc>
          <w:tcPr>
            <w:tcW w:w="2189"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151,500 </w:t>
            </w:r>
          </w:p>
        </w:tc>
        <w:tc>
          <w:tcPr>
            <w:tcW w:w="911"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32</w:t>
            </w:r>
          </w:p>
        </w:tc>
        <w:tc>
          <w:tcPr>
            <w:tcW w:w="2115" w:type="dxa"/>
            <w:tcBorders>
              <w:top w:val="nil"/>
              <w:left w:val="nil"/>
              <w:bottom w:val="single" w:sz="4" w:space="0" w:color="auto"/>
              <w:right w:val="single" w:sz="4" w:space="0" w:color="auto"/>
            </w:tcBorders>
            <w:vAlign w:val="bottom"/>
          </w:tcPr>
          <w:p w:rsidR="00FB4703" w:rsidRPr="00E40800" w:rsidRDefault="00FB4703" w:rsidP="00FB4703">
            <w:pPr>
              <w:pStyle w:val="Tabele"/>
            </w:pPr>
            <w:r w:rsidRPr="00E40800">
              <w:t xml:space="preserve">        49,686 </w:t>
            </w:r>
          </w:p>
        </w:tc>
        <w:tc>
          <w:tcPr>
            <w:tcW w:w="905" w:type="dxa"/>
            <w:tcBorders>
              <w:top w:val="nil"/>
              <w:left w:val="nil"/>
              <w:bottom w:val="single" w:sz="4" w:space="0" w:color="auto"/>
              <w:right w:val="single" w:sz="4" w:space="0" w:color="auto"/>
            </w:tcBorders>
            <w:vAlign w:val="center"/>
          </w:tcPr>
          <w:p w:rsidR="00FB4703" w:rsidRPr="00E40800" w:rsidRDefault="00FB4703" w:rsidP="00FB4703">
            <w:pPr>
              <w:pStyle w:val="Tabele"/>
            </w:pPr>
            <w:r w:rsidRPr="00E40800">
              <w:t>32</w:t>
            </w:r>
          </w:p>
        </w:tc>
      </w:tr>
      <w:tr w:rsidR="00FB4703" w:rsidRPr="00E40800">
        <w:tblPrEx>
          <w:tblCellMar>
            <w:top w:w="0" w:type="dxa"/>
            <w:left w:w="0" w:type="dxa"/>
            <w:bottom w:w="0" w:type="dxa"/>
            <w:right w:w="0" w:type="dxa"/>
          </w:tblCellMar>
        </w:tblPrEx>
        <w:trPr>
          <w:trHeight w:val="300"/>
        </w:trPr>
        <w:tc>
          <w:tcPr>
            <w:tcW w:w="540" w:type="dxa"/>
            <w:tcBorders>
              <w:top w:val="nil"/>
              <w:left w:val="single" w:sz="4" w:space="0" w:color="auto"/>
              <w:bottom w:val="nil"/>
              <w:right w:val="single" w:sz="4" w:space="0" w:color="auto"/>
            </w:tcBorders>
            <w:vAlign w:val="bottom"/>
          </w:tcPr>
          <w:p w:rsidR="00FB4703" w:rsidRPr="00E40800" w:rsidRDefault="00FB4703" w:rsidP="00FB4703">
            <w:pPr>
              <w:pStyle w:val="Tabele"/>
            </w:pPr>
            <w:r w:rsidRPr="00E40800">
              <w:t>12</w:t>
            </w:r>
          </w:p>
        </w:tc>
        <w:tc>
          <w:tcPr>
            <w:tcW w:w="1280" w:type="dxa"/>
            <w:tcBorders>
              <w:top w:val="nil"/>
              <w:left w:val="nil"/>
              <w:bottom w:val="nil"/>
              <w:right w:val="single" w:sz="4" w:space="0" w:color="auto"/>
            </w:tcBorders>
            <w:vAlign w:val="bottom"/>
          </w:tcPr>
          <w:p w:rsidR="00FB4703" w:rsidRPr="00E40800" w:rsidRDefault="00FB4703" w:rsidP="00FB4703">
            <w:pPr>
              <w:pStyle w:val="Tabele"/>
            </w:pPr>
            <w:r w:rsidRPr="00E40800">
              <w:t>Vlore</w:t>
            </w:r>
          </w:p>
        </w:tc>
        <w:tc>
          <w:tcPr>
            <w:tcW w:w="2906"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67,672 </w:t>
            </w:r>
          </w:p>
        </w:tc>
        <w:tc>
          <w:tcPr>
            <w:tcW w:w="3106"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34,920 </w:t>
            </w:r>
          </w:p>
        </w:tc>
        <w:tc>
          <w:tcPr>
            <w:tcW w:w="2189"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24,663 </w:t>
            </w:r>
          </w:p>
        </w:tc>
        <w:tc>
          <w:tcPr>
            <w:tcW w:w="911" w:type="dxa"/>
            <w:tcBorders>
              <w:top w:val="nil"/>
              <w:left w:val="nil"/>
              <w:bottom w:val="nil"/>
              <w:right w:val="single" w:sz="4" w:space="0" w:color="auto"/>
            </w:tcBorders>
            <w:vAlign w:val="bottom"/>
          </w:tcPr>
          <w:p w:rsidR="00FB4703" w:rsidRPr="00E40800" w:rsidRDefault="00FB4703" w:rsidP="00FB4703">
            <w:pPr>
              <w:pStyle w:val="Tabele"/>
            </w:pPr>
            <w:r w:rsidRPr="00E40800">
              <w:t>5</w:t>
            </w:r>
          </w:p>
        </w:tc>
        <w:tc>
          <w:tcPr>
            <w:tcW w:w="2115" w:type="dxa"/>
            <w:tcBorders>
              <w:top w:val="nil"/>
              <w:left w:val="nil"/>
              <w:bottom w:val="nil"/>
              <w:right w:val="single" w:sz="4" w:space="0" w:color="auto"/>
            </w:tcBorders>
            <w:vAlign w:val="bottom"/>
          </w:tcPr>
          <w:p w:rsidR="00FB4703" w:rsidRPr="00E40800" w:rsidRDefault="00FB4703" w:rsidP="00FB4703">
            <w:pPr>
              <w:pStyle w:val="Tabele"/>
            </w:pPr>
            <w:r w:rsidRPr="00E40800">
              <w:t xml:space="preserve">           8,089 </w:t>
            </w:r>
          </w:p>
        </w:tc>
        <w:tc>
          <w:tcPr>
            <w:tcW w:w="905" w:type="dxa"/>
            <w:tcBorders>
              <w:top w:val="nil"/>
              <w:left w:val="nil"/>
              <w:bottom w:val="nil"/>
              <w:right w:val="single" w:sz="4" w:space="0" w:color="auto"/>
            </w:tcBorders>
            <w:vAlign w:val="center"/>
          </w:tcPr>
          <w:p w:rsidR="00FB4703" w:rsidRPr="00E40800" w:rsidRDefault="00FB4703" w:rsidP="00FB4703">
            <w:pPr>
              <w:pStyle w:val="Tabele"/>
            </w:pPr>
            <w:r w:rsidRPr="00E40800">
              <w:t>5</w:t>
            </w:r>
          </w:p>
        </w:tc>
      </w:tr>
      <w:tr w:rsidR="00FB4703" w:rsidRPr="00E40800">
        <w:tblPrEx>
          <w:tblCellMar>
            <w:top w:w="0" w:type="dxa"/>
            <w:left w:w="0" w:type="dxa"/>
            <w:bottom w:w="0" w:type="dxa"/>
            <w:right w:w="0" w:type="dxa"/>
          </w:tblCellMar>
        </w:tblPrEx>
        <w:trPr>
          <w:trHeight w:val="300"/>
        </w:trPr>
        <w:tc>
          <w:tcPr>
            <w:tcW w:w="540" w:type="dxa"/>
            <w:tcBorders>
              <w:top w:val="double" w:sz="6" w:space="0" w:color="auto"/>
              <w:left w:val="single" w:sz="4" w:space="0" w:color="auto"/>
              <w:bottom w:val="double" w:sz="6" w:space="0" w:color="auto"/>
              <w:right w:val="single" w:sz="4" w:space="0" w:color="auto"/>
            </w:tcBorders>
            <w:vAlign w:val="bottom"/>
          </w:tcPr>
          <w:p w:rsidR="00FB4703" w:rsidRPr="00E40800" w:rsidRDefault="00FB4703" w:rsidP="00FB4703">
            <w:pPr>
              <w:pStyle w:val="Tabele"/>
            </w:pPr>
            <w:r w:rsidRPr="00E40800">
              <w:t> </w:t>
            </w:r>
          </w:p>
        </w:tc>
        <w:tc>
          <w:tcPr>
            <w:tcW w:w="1280"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Totali</w:t>
            </w:r>
          </w:p>
        </w:tc>
        <w:tc>
          <w:tcPr>
            <w:tcW w:w="2906"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 xml:space="preserve">                          1,154,762 </w:t>
            </w:r>
          </w:p>
        </w:tc>
        <w:tc>
          <w:tcPr>
            <w:tcW w:w="3106"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523,095</w:t>
            </w:r>
          </w:p>
        </w:tc>
        <w:tc>
          <w:tcPr>
            <w:tcW w:w="2189"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475,666</w:t>
            </w:r>
          </w:p>
        </w:tc>
        <w:tc>
          <w:tcPr>
            <w:tcW w:w="911"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100</w:t>
            </w:r>
          </w:p>
        </w:tc>
        <w:tc>
          <w:tcPr>
            <w:tcW w:w="2115"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156,000</w:t>
            </w:r>
          </w:p>
        </w:tc>
        <w:tc>
          <w:tcPr>
            <w:tcW w:w="905" w:type="dxa"/>
            <w:tcBorders>
              <w:top w:val="double" w:sz="6" w:space="0" w:color="auto"/>
              <w:left w:val="nil"/>
              <w:bottom w:val="double" w:sz="6" w:space="0" w:color="auto"/>
              <w:right w:val="single" w:sz="4" w:space="0" w:color="auto"/>
            </w:tcBorders>
            <w:vAlign w:val="bottom"/>
          </w:tcPr>
          <w:p w:rsidR="00FB4703" w:rsidRPr="00E40800" w:rsidRDefault="00FB4703" w:rsidP="00FB4703">
            <w:pPr>
              <w:pStyle w:val="Tabele"/>
            </w:pPr>
            <w:r w:rsidRPr="00E40800">
              <w:t>100</w:t>
            </w:r>
          </w:p>
        </w:tc>
      </w:tr>
    </w:tbl>
    <w:p w:rsidR="00FB4703" w:rsidRPr="00E40800" w:rsidRDefault="00FB4703" w:rsidP="00FB4703">
      <w:pPr>
        <w:pStyle w:val="Paragrafi"/>
      </w:pPr>
    </w:p>
    <w:p w:rsidR="00FB4703" w:rsidRPr="00E40800" w:rsidRDefault="00FB4703" w:rsidP="00FB4703">
      <w:pPr>
        <w:pStyle w:val="Paragrafi"/>
      </w:pPr>
      <w:r w:rsidRPr="00E40800">
        <w:t xml:space="preserve">Shenim: </w:t>
      </w:r>
    </w:p>
    <w:p w:rsidR="00FB4703" w:rsidRPr="00E40800" w:rsidRDefault="00FB4703" w:rsidP="00FB4703">
      <w:pPr>
        <w:pStyle w:val="Paragrafi"/>
        <w:rPr>
          <w:lang w:val="it-IT"/>
        </w:rPr>
      </w:pPr>
      <w:r w:rsidRPr="00E40800">
        <w:rPr>
          <w:lang w:val="it-IT"/>
        </w:rPr>
        <w:t>Fondet e planifikuara per tu shperndare do te perdoren dhe per pajisje shkollore (tavolina, karrike etj.)</w:t>
      </w:r>
    </w:p>
    <w:p w:rsidR="00FB4703" w:rsidRPr="00E40800" w:rsidRDefault="00FB4703" w:rsidP="00FB4703">
      <w:pPr>
        <w:pStyle w:val="Paragrafi"/>
        <w:rPr>
          <w:lang w:val="pt-BR"/>
        </w:rPr>
        <w:sectPr w:rsidR="00FB4703" w:rsidRPr="00E40800" w:rsidSect="00FB4703">
          <w:pgSz w:w="16840" w:h="11907" w:orient="landscape" w:code="9"/>
          <w:pgMar w:top="1418" w:right="1418" w:bottom="1418" w:left="1418" w:header="1304" w:footer="1134" w:gutter="0"/>
          <w:cols w:space="720"/>
          <w:noEndnote/>
          <w:docGrid w:linePitch="326" w:charSpace="47288"/>
        </w:sectPr>
      </w:pPr>
    </w:p>
    <w:p w:rsidR="00FB4703" w:rsidRPr="00E40800" w:rsidRDefault="00FB4703" w:rsidP="00FB4703">
      <w:pPr>
        <w:pStyle w:val="Paragrafi"/>
        <w:rPr>
          <w:lang w:val="pt-BR"/>
        </w:rPr>
      </w:pPr>
    </w:p>
    <w:tbl>
      <w:tblPr>
        <w:tblW w:w="9988" w:type="dxa"/>
        <w:jc w:val="center"/>
        <w:tblLook w:val="0000" w:firstRow="0" w:lastRow="0" w:firstColumn="0" w:lastColumn="0" w:noHBand="0" w:noVBand="0"/>
      </w:tblPr>
      <w:tblGrid>
        <w:gridCol w:w="461"/>
        <w:gridCol w:w="1904"/>
        <w:gridCol w:w="1800"/>
        <w:gridCol w:w="900"/>
        <w:gridCol w:w="606"/>
        <w:gridCol w:w="1767"/>
        <w:gridCol w:w="1620"/>
        <w:gridCol w:w="694"/>
        <w:gridCol w:w="236"/>
      </w:tblGrid>
      <w:tr w:rsidR="00FB4703" w:rsidRPr="00E40800">
        <w:trPr>
          <w:trHeight w:val="315"/>
          <w:jc w:val="center"/>
        </w:trPr>
        <w:tc>
          <w:tcPr>
            <w:tcW w:w="2365" w:type="dxa"/>
            <w:gridSpan w:val="2"/>
            <w:tcBorders>
              <w:top w:val="nil"/>
              <w:left w:val="nil"/>
              <w:bottom w:val="nil"/>
              <w:right w:val="nil"/>
            </w:tcBorders>
            <w:shd w:val="clear" w:color="auto" w:fill="auto"/>
            <w:noWrap/>
            <w:vAlign w:val="bottom"/>
          </w:tcPr>
          <w:p w:rsidR="00FB4703" w:rsidRPr="00E40800" w:rsidRDefault="00FB4703" w:rsidP="00FB4703">
            <w:pPr>
              <w:pStyle w:val="Tabele"/>
            </w:pPr>
            <w:bookmarkStart w:id="1" w:name="RANGE!A1:H41"/>
            <w:r w:rsidRPr="00E40800">
              <w:t>Aneksi 3/1</w:t>
            </w:r>
            <w:bookmarkEnd w:id="1"/>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315"/>
          <w:jc w:val="center"/>
        </w:trPr>
        <w:tc>
          <w:tcPr>
            <w:tcW w:w="461"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90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315"/>
          <w:jc w:val="center"/>
        </w:trPr>
        <w:tc>
          <w:tcPr>
            <w:tcW w:w="461"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90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90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315"/>
          <w:jc w:val="center"/>
        </w:trPr>
        <w:tc>
          <w:tcPr>
            <w:tcW w:w="9988" w:type="dxa"/>
            <w:gridSpan w:val="9"/>
            <w:tcBorders>
              <w:top w:val="nil"/>
              <w:left w:val="nil"/>
              <w:bottom w:val="nil"/>
              <w:right w:val="nil"/>
            </w:tcBorders>
            <w:shd w:val="clear" w:color="auto" w:fill="auto"/>
            <w:noWrap/>
            <w:vAlign w:val="bottom"/>
          </w:tcPr>
          <w:p w:rsidR="00FB4703" w:rsidRPr="00E40800" w:rsidRDefault="00FB4703" w:rsidP="00FB4703">
            <w:pPr>
              <w:pStyle w:val="Tabele"/>
            </w:pPr>
            <w:r w:rsidRPr="00E40800">
              <w:t xml:space="preserve">Granti i kushtëzuar për ndërtimin dhe rikonstruksionin e qendrave shëndetësore </w:t>
            </w:r>
          </w:p>
          <w:p w:rsidR="00FB4703" w:rsidRPr="00E40800" w:rsidRDefault="00FB4703" w:rsidP="00FB4703">
            <w:pPr>
              <w:pStyle w:val="Tabele"/>
            </w:pPr>
            <w:r w:rsidRPr="00E40800">
              <w:t>dhe të ambulancave në shërbimin parësor për vitin 2005</w:t>
            </w:r>
          </w:p>
        </w:tc>
      </w:tr>
      <w:tr w:rsidR="00FB4703" w:rsidRPr="00E40800">
        <w:trPr>
          <w:trHeight w:val="270"/>
          <w:jc w:val="center"/>
        </w:trPr>
        <w:tc>
          <w:tcPr>
            <w:tcW w:w="461"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90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nil"/>
            </w:tcBorders>
            <w:shd w:val="clear" w:color="auto" w:fill="auto"/>
            <w:noWrap/>
            <w:vAlign w:val="bottom"/>
          </w:tcPr>
          <w:p w:rsidR="00FB4703" w:rsidRPr="00E40800" w:rsidRDefault="00FB4703" w:rsidP="00FB4703">
            <w:pPr>
              <w:pStyle w:val="Tabele"/>
            </w:pPr>
            <w:r w:rsidRPr="00E40800">
              <w:t>000/leke</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342"/>
          <w:jc w:val="center"/>
        </w:trPr>
        <w:tc>
          <w:tcPr>
            <w:tcW w:w="461" w:type="dxa"/>
            <w:tcBorders>
              <w:top w:val="single" w:sz="8" w:space="0" w:color="auto"/>
              <w:left w:val="single" w:sz="8" w:space="0" w:color="auto"/>
              <w:bottom w:val="nil"/>
              <w:right w:val="single" w:sz="4" w:space="0" w:color="auto"/>
            </w:tcBorders>
            <w:shd w:val="clear" w:color="auto" w:fill="auto"/>
            <w:noWrap/>
            <w:vAlign w:val="bottom"/>
          </w:tcPr>
          <w:p w:rsidR="00FB4703" w:rsidRPr="00E40800" w:rsidRDefault="00FB4703" w:rsidP="00FB4703">
            <w:pPr>
              <w:pStyle w:val="Tabele"/>
            </w:pPr>
            <w:r w:rsidRPr="00E40800">
              <w:t>Nr</w:t>
            </w:r>
          </w:p>
        </w:tc>
        <w:tc>
          <w:tcPr>
            <w:tcW w:w="1904" w:type="dxa"/>
            <w:tcBorders>
              <w:top w:val="single" w:sz="8" w:space="0" w:color="auto"/>
              <w:left w:val="nil"/>
              <w:bottom w:val="nil"/>
              <w:right w:val="nil"/>
            </w:tcBorders>
            <w:shd w:val="clear" w:color="auto" w:fill="auto"/>
            <w:noWrap/>
            <w:vAlign w:val="bottom"/>
          </w:tcPr>
          <w:p w:rsidR="00FB4703" w:rsidRPr="00E40800" w:rsidRDefault="00FB4703" w:rsidP="00FB4703">
            <w:pPr>
              <w:pStyle w:val="Tabele"/>
            </w:pPr>
            <w:r w:rsidRPr="00E40800">
              <w:t>Emertimi</w:t>
            </w:r>
          </w:p>
        </w:tc>
        <w:tc>
          <w:tcPr>
            <w:tcW w:w="1800" w:type="dxa"/>
            <w:tcBorders>
              <w:top w:val="single" w:sz="8" w:space="0" w:color="auto"/>
              <w:left w:val="single" w:sz="4" w:space="0" w:color="auto"/>
              <w:bottom w:val="nil"/>
              <w:right w:val="single" w:sz="8" w:space="0" w:color="auto"/>
            </w:tcBorders>
            <w:shd w:val="clear" w:color="auto" w:fill="auto"/>
            <w:noWrap/>
            <w:vAlign w:val="bottom"/>
          </w:tcPr>
          <w:p w:rsidR="00FB4703" w:rsidRPr="00E40800" w:rsidRDefault="00FB4703" w:rsidP="00FB4703">
            <w:pPr>
              <w:pStyle w:val="Tabele"/>
            </w:pPr>
            <w:r w:rsidRPr="00E40800">
              <w:t>Shuma</w:t>
            </w:r>
          </w:p>
        </w:tc>
        <w:tc>
          <w:tcPr>
            <w:tcW w:w="900" w:type="dxa"/>
            <w:tcBorders>
              <w:top w:val="single" w:sz="8" w:space="0" w:color="auto"/>
              <w:left w:val="nil"/>
              <w:bottom w:val="nil"/>
              <w:right w:val="nil"/>
            </w:tcBorders>
            <w:shd w:val="clear" w:color="auto" w:fill="auto"/>
            <w:noWrap/>
            <w:vAlign w:val="bottom"/>
          </w:tcPr>
          <w:p w:rsidR="00FB4703" w:rsidRPr="00E40800" w:rsidRDefault="00FB4703" w:rsidP="00FB4703">
            <w:pPr>
              <w:pStyle w:val="Tabele"/>
            </w:pPr>
            <w:r w:rsidRPr="00E40800">
              <w:t> </w:t>
            </w:r>
          </w:p>
        </w:tc>
        <w:tc>
          <w:tcPr>
            <w:tcW w:w="606" w:type="dxa"/>
            <w:tcBorders>
              <w:top w:val="single" w:sz="8" w:space="0" w:color="auto"/>
              <w:left w:val="single" w:sz="8" w:space="0" w:color="auto"/>
              <w:bottom w:val="nil"/>
              <w:right w:val="single" w:sz="4" w:space="0" w:color="auto"/>
            </w:tcBorders>
            <w:shd w:val="clear" w:color="auto" w:fill="auto"/>
            <w:noWrap/>
            <w:vAlign w:val="bottom"/>
          </w:tcPr>
          <w:p w:rsidR="00FB4703" w:rsidRPr="00E40800" w:rsidRDefault="00FB4703" w:rsidP="00FB4703">
            <w:pPr>
              <w:pStyle w:val="Tabele"/>
            </w:pPr>
            <w:r w:rsidRPr="00E40800">
              <w:t>Nr</w:t>
            </w:r>
          </w:p>
        </w:tc>
        <w:tc>
          <w:tcPr>
            <w:tcW w:w="1767" w:type="dxa"/>
            <w:tcBorders>
              <w:top w:val="single" w:sz="8" w:space="0" w:color="auto"/>
              <w:left w:val="nil"/>
              <w:bottom w:val="nil"/>
              <w:right w:val="nil"/>
            </w:tcBorders>
            <w:shd w:val="clear" w:color="auto" w:fill="auto"/>
            <w:noWrap/>
            <w:vAlign w:val="bottom"/>
          </w:tcPr>
          <w:p w:rsidR="00FB4703" w:rsidRPr="00E40800" w:rsidRDefault="00FB4703" w:rsidP="00FB4703">
            <w:pPr>
              <w:pStyle w:val="Tabele"/>
            </w:pPr>
            <w:r w:rsidRPr="00E40800">
              <w:t>Emertimi</w:t>
            </w:r>
          </w:p>
        </w:tc>
        <w:tc>
          <w:tcPr>
            <w:tcW w:w="1620" w:type="dxa"/>
            <w:tcBorders>
              <w:top w:val="single" w:sz="8" w:space="0" w:color="auto"/>
              <w:left w:val="single" w:sz="4" w:space="0" w:color="auto"/>
              <w:bottom w:val="nil"/>
              <w:right w:val="single" w:sz="8" w:space="0" w:color="auto"/>
            </w:tcBorders>
            <w:shd w:val="clear" w:color="auto" w:fill="auto"/>
            <w:noWrap/>
            <w:vAlign w:val="bottom"/>
          </w:tcPr>
          <w:p w:rsidR="00FB4703" w:rsidRPr="00E40800" w:rsidRDefault="00FB4703" w:rsidP="00FB4703">
            <w:pPr>
              <w:pStyle w:val="Tabele"/>
            </w:pPr>
            <w:r w:rsidRPr="00E40800">
              <w:t>Shuma</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342"/>
          <w:jc w:val="center"/>
        </w:trPr>
        <w:tc>
          <w:tcPr>
            <w:tcW w:w="461" w:type="dxa"/>
            <w:tcBorders>
              <w:top w:val="nil"/>
              <w:left w:val="single" w:sz="8" w:space="0" w:color="auto"/>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single" w:sz="4" w:space="0" w:color="auto"/>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606" w:type="dxa"/>
            <w:tcBorders>
              <w:top w:val="nil"/>
              <w:left w:val="single" w:sz="8" w:space="0" w:color="auto"/>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single" w:sz="4" w:space="0" w:color="auto"/>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xml:space="preserve">Qarku  Berat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30470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VII</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Kukes</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18130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Berat</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14970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23</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Kukes</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5180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Skrapar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8280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24</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Has</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4650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Kucove</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7220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25</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Tropoje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8300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II</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Diber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27720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VIII</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Lezhe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28940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4</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xml:space="preserve"> Diber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8180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26</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Lezhe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7730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5</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xml:space="preserve"> Bulqize</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6750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27</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Lac</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5180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6</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xml:space="preserve"> Mat</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12790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28</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Mirdite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16030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III</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Durres</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23710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IX</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Tirane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42860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7</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Durres</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11350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32</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Tirane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32950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8</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Kruje</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12360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33</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Kavaje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9910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IV</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Elbasan</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33870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X</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Korce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40640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9</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Elbasan</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11640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19</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Korce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21700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10</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Gramsh</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3100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20</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Devoll</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7740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11</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Librazhd</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9320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21</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Kolonje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5200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12</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Peqin</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9810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22</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Pogradec</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6000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Fier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28320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XI</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Shkoder</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25760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13</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14920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29</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Shkoder</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4650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14</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Lushnje</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8220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30</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 Madhe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13890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15</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Rrethi  Mallakaster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5180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31</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Puke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7220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VI</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Gjirokaster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23210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XII</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Vlore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34180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16</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Gjirokaster</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8030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34</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Vlore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11910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17</w:t>
            </w:r>
          </w:p>
        </w:tc>
        <w:tc>
          <w:tcPr>
            <w:tcW w:w="1904"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Permet</w:t>
            </w:r>
          </w:p>
        </w:tc>
        <w:tc>
          <w:tcPr>
            <w:tcW w:w="180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10000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35</w:t>
            </w:r>
          </w:p>
        </w:tc>
        <w:tc>
          <w:tcPr>
            <w:tcW w:w="1767"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Delvine</w:t>
            </w:r>
          </w:p>
        </w:tc>
        <w:tc>
          <w:tcPr>
            <w:tcW w:w="16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10850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70"/>
          <w:jc w:val="center"/>
        </w:trPr>
        <w:tc>
          <w:tcPr>
            <w:tcW w:w="461" w:type="dxa"/>
            <w:tcBorders>
              <w:top w:val="nil"/>
              <w:left w:val="single" w:sz="8" w:space="0" w:color="auto"/>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18</w:t>
            </w:r>
          </w:p>
        </w:tc>
        <w:tc>
          <w:tcPr>
            <w:tcW w:w="1904" w:type="dxa"/>
            <w:tcBorders>
              <w:top w:val="nil"/>
              <w:left w:val="nil"/>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Tepelene</w:t>
            </w:r>
          </w:p>
        </w:tc>
        <w:tc>
          <w:tcPr>
            <w:tcW w:w="1800" w:type="dxa"/>
            <w:tcBorders>
              <w:top w:val="nil"/>
              <w:left w:val="nil"/>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5180</w:t>
            </w: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single" w:sz="8" w:space="0" w:color="auto"/>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36</w:t>
            </w:r>
          </w:p>
        </w:tc>
        <w:tc>
          <w:tcPr>
            <w:tcW w:w="1767" w:type="dxa"/>
            <w:tcBorders>
              <w:top w:val="nil"/>
              <w:left w:val="nil"/>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Sarande</w:t>
            </w:r>
          </w:p>
        </w:tc>
        <w:tc>
          <w:tcPr>
            <w:tcW w:w="1620" w:type="dxa"/>
            <w:tcBorders>
              <w:top w:val="nil"/>
              <w:left w:val="nil"/>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11420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single" w:sz="8" w:space="0" w:color="auto"/>
              <w:bottom w:val="nil"/>
              <w:right w:val="nil"/>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single" w:sz="8" w:space="0" w:color="auto"/>
              <w:left w:val="nil"/>
              <w:bottom w:val="nil"/>
              <w:right w:val="nil"/>
            </w:tcBorders>
            <w:shd w:val="clear" w:color="auto" w:fill="auto"/>
            <w:noWrap/>
            <w:vAlign w:val="bottom"/>
          </w:tcPr>
          <w:p w:rsidR="00FB4703" w:rsidRPr="00E40800" w:rsidRDefault="00FB4703" w:rsidP="00FB4703">
            <w:pPr>
              <w:pStyle w:val="Tabele"/>
            </w:pPr>
            <w:r w:rsidRPr="00E40800">
              <w:t> </w:t>
            </w: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single" w:sz="8" w:space="0" w:color="auto"/>
            </w:tcBorders>
            <w:shd w:val="clear" w:color="auto" w:fill="auto"/>
            <w:noWrap/>
            <w:vAlign w:val="bottom"/>
          </w:tcPr>
          <w:p w:rsidR="00FB4703" w:rsidRPr="00E40800" w:rsidRDefault="00FB4703" w:rsidP="00FB4703">
            <w:pPr>
              <w:pStyle w:val="Tabele"/>
            </w:pPr>
            <w:r w:rsidRPr="00E40800">
              <w:t> </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330"/>
          <w:jc w:val="center"/>
        </w:trPr>
        <w:tc>
          <w:tcPr>
            <w:tcW w:w="461" w:type="dxa"/>
            <w:tcBorders>
              <w:top w:val="nil"/>
              <w:left w:val="single" w:sz="8" w:space="0" w:color="auto"/>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1904" w:type="dxa"/>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1800" w:type="dxa"/>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900" w:type="dxa"/>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w:t>
            </w:r>
          </w:p>
        </w:tc>
        <w:tc>
          <w:tcPr>
            <w:tcW w:w="2373" w:type="dxa"/>
            <w:gridSpan w:val="2"/>
            <w:tcBorders>
              <w:top w:val="nil"/>
              <w:left w:val="nil"/>
              <w:bottom w:val="single" w:sz="8" w:space="0" w:color="auto"/>
              <w:right w:val="nil"/>
            </w:tcBorders>
            <w:shd w:val="clear" w:color="auto" w:fill="auto"/>
            <w:noWrap/>
            <w:vAlign w:val="bottom"/>
          </w:tcPr>
          <w:p w:rsidR="00FB4703" w:rsidRPr="00E40800" w:rsidRDefault="00FB4703" w:rsidP="00FB4703">
            <w:pPr>
              <w:pStyle w:val="Tabele"/>
            </w:pPr>
            <w:r w:rsidRPr="00E40800">
              <w:t xml:space="preserve">   TOTALI   QARQEVE</w:t>
            </w:r>
          </w:p>
        </w:tc>
        <w:tc>
          <w:tcPr>
            <w:tcW w:w="1620" w:type="dxa"/>
            <w:tcBorders>
              <w:top w:val="nil"/>
              <w:left w:val="nil"/>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357810</w:t>
            </w: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jc w:val="center"/>
        </w:trPr>
        <w:tc>
          <w:tcPr>
            <w:tcW w:w="461"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90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8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90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06"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76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162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694"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36" w:type="dxa"/>
            <w:tcBorders>
              <w:top w:val="nil"/>
              <w:left w:val="nil"/>
              <w:bottom w:val="nil"/>
              <w:right w:val="nil"/>
            </w:tcBorders>
            <w:shd w:val="clear" w:color="auto" w:fill="auto"/>
            <w:noWrap/>
            <w:vAlign w:val="bottom"/>
          </w:tcPr>
          <w:p w:rsidR="00FB4703" w:rsidRPr="00E40800" w:rsidRDefault="00FB4703" w:rsidP="00FB4703">
            <w:pPr>
              <w:pStyle w:val="Tabele"/>
            </w:pPr>
          </w:p>
        </w:tc>
      </w:tr>
    </w:tbl>
    <w:p w:rsidR="00FB4703" w:rsidRPr="00E40800" w:rsidRDefault="00FB4703" w:rsidP="00FB4703">
      <w:pPr>
        <w:pStyle w:val="Paragrafi"/>
        <w:rPr>
          <w:lang w:val="pt-BR"/>
        </w:rPr>
      </w:pPr>
    </w:p>
    <w:p w:rsidR="00FB4703" w:rsidRPr="00E40800" w:rsidRDefault="00FB4703" w:rsidP="00FB4703">
      <w:pPr>
        <w:pStyle w:val="Paragrafi"/>
        <w:rPr>
          <w:lang w:val="pt-BR"/>
        </w:rPr>
      </w:pPr>
    </w:p>
    <w:p w:rsidR="00FB4703" w:rsidRPr="00E40800" w:rsidRDefault="00FB4703" w:rsidP="00FB4703">
      <w:pPr>
        <w:pStyle w:val="Paragrafi"/>
        <w:rPr>
          <w:lang w:val="pt-BR"/>
        </w:rPr>
      </w:pPr>
    </w:p>
    <w:p w:rsidR="00FB4703" w:rsidRPr="00E40800" w:rsidRDefault="00FB4703" w:rsidP="00FB4703">
      <w:pPr>
        <w:pStyle w:val="Paragrafi"/>
        <w:rPr>
          <w:lang w:val="pt-BR"/>
        </w:rPr>
      </w:pPr>
    </w:p>
    <w:p w:rsidR="00FB4703" w:rsidRPr="00E40800" w:rsidRDefault="00FB4703" w:rsidP="00FB4703">
      <w:pPr>
        <w:pStyle w:val="Paragrafi"/>
        <w:rPr>
          <w:lang w:val="sq-AL"/>
        </w:rPr>
      </w:pPr>
    </w:p>
    <w:p w:rsidR="00FB4703" w:rsidRPr="00E40800" w:rsidRDefault="00FB4703" w:rsidP="00FB4703">
      <w:pPr>
        <w:pStyle w:val="Aneksi"/>
      </w:pPr>
      <w:r w:rsidRPr="00E40800">
        <w:t>Tab.1</w:t>
      </w:r>
    </w:p>
    <w:p w:rsidR="00FB4703" w:rsidRPr="00E40800" w:rsidRDefault="00FB4703" w:rsidP="00FB4703">
      <w:pPr>
        <w:pStyle w:val="Paragrafi"/>
        <w:rPr>
          <w:lang w:val="sq-AL"/>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27"/>
        <w:gridCol w:w="4069"/>
        <w:gridCol w:w="1448"/>
        <w:gridCol w:w="1339"/>
        <w:gridCol w:w="1448"/>
      </w:tblGrid>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ne 000/Leke</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Kodmin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Buxheti i vitit 2005 sipas Ministrive dhe Institucioneve (ne mije Leke)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Fonde te  </w:t>
            </w:r>
            <w:r w:rsidRPr="00E40800">
              <w:rPr>
                <w:b/>
                <w:bCs/>
              </w:rPr>
              <w:br/>
            </w:r>
            <w:r w:rsidRPr="00E40800">
              <w:rPr>
                <w:b/>
                <w:bCs/>
              </w:rPr>
              <w:br/>
              <w:t>pakushtezuara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Fonde te  </w:t>
            </w:r>
            <w:r w:rsidRPr="00E40800">
              <w:rPr>
                <w:b/>
                <w:bCs/>
              </w:rPr>
              <w:br/>
            </w:r>
            <w:r w:rsidRPr="00E40800">
              <w:rPr>
                <w:b/>
                <w:bCs/>
              </w:rPr>
              <w:br/>
              <w:t>kushtezuara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Totali</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Presidenca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204,000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Kuvendi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845,000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845,000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Keshilli Ministrave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657,000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438,996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1,095,996</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Industrise dhe Energjitikes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994,900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4,025,218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5,020,118</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Bujqesise dhe Ushqimit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3,652,000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2,898,150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6,550,150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Ministria e Rregullimit Territorit dhe Turizmit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5,918,550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5,037,450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10,956,000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Ekonomise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732,000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Ministria e Transportit dhe Telekomunikacionit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9,418,525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5,147,740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14,566,265</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Regjistrimi i Pasurive te Paluajtshme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321,000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xml:space="preserve">Ministria e Financave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385,840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1,235,840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Ministria e Arsimit dhe Shkences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23,840,647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1,599,353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25,440,000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Kultures, Rinise dhe Sporteve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1,401,100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354,900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1,756,000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Shendetesise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16,954,500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1,519,228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18,473,728</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2,691,381</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965,724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3,657,105</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Ministria e Puneve te Jashtme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1,617,000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Rendit Publik</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10,883,000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11,583,000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Mbrojtjes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10,029,024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1,510,976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11,540,000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Sherbimi Informativ Shteteror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1,089,123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15,877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1,105,000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Drejtoria e Radio Televizionit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560,000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560,000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Pergjithshme e Arkivave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Rezervave te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Akademia e Shkences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523,000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44,200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567,200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Kontrolli Larte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Ministria e Punes dhe Ceshtjeve Sociale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27,502,000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27,938,000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Mjedisit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114,500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300,500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Agjensia Kombetare e Privatizimit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Prokuroria e Pergjithshme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1,157,000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1,160,000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Zyra e Administrimit Buxhetit Gjygjsor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1,339,395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1,340,000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Gjykata Kushtetuese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91,000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Agjensia Telegrafike Shqiptare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96,500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104,000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Ministria e Pushtetit Vendor dhe Decentralizimit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1,952,750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71,250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2,024,000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Pergjithsme e Doganave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760,000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1,370,000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Pergjithshme e Standartizimit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27,000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Pergjith. e Pyjeve dhe Kullotave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670,000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870,000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Partite Politike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Pergjithshme e Tatimeve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1,214,000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516,000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1,730,000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Drejtoria e Metrologjise dhe Kalibrimit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34,000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Instituti Statistikes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Komisioni i Letrave me Vlera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Enti Kombetar i Zonave te Lira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Shkolla e Magjistratures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66,550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67,000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Fondi i Zhvillimit Shqiptar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1,174,536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1,664,536</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Qendra Kombetare e Kinematografise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94,600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Instituti I Integrimit te Perndjekurve Politik</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31,000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Keshilli i Larte i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68,000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Keshilli Kombetar i RTV</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Avokati i Popullit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Komisioni i Sherbimit Civil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Komisioni Qendror i Zgjedhjeve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Avokati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xml:space="preserve">Inspektoriati i Larte Kontr. Deklarim Pasurise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132,000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Autoriteti I Konkurences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Ministria e Integrimit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190,000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Komiteti Shteteter i Kthimit dhe Kompensimit te Pronave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372,000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Totali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130,368,545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28,556,893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158,925,438</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kontroll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130368545.195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28556892.861</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158925438.056</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bl>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Aneksi"/>
      </w:pPr>
      <w:r w:rsidRPr="00E40800">
        <w:t>Tab.1.1</w:t>
      </w:r>
    </w:p>
    <w:p w:rsidR="00FB4703" w:rsidRPr="00E40800" w:rsidRDefault="00FB4703" w:rsidP="00FB4703">
      <w:pPr>
        <w:pStyle w:val="Paragrafi"/>
        <w:rPr>
          <w:lang w:val="sq-AL"/>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27"/>
        <w:gridCol w:w="3683"/>
        <w:gridCol w:w="1131"/>
        <w:gridCol w:w="1103"/>
        <w:gridCol w:w="974"/>
      </w:tblGrid>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ne 000 Lek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Kodmin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 xml:space="preserve">Institucionet e Pavarura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Nr. </w:t>
            </w:r>
            <w:r w:rsidRPr="00E40800">
              <w:rPr>
                <w:b/>
                <w:bCs/>
              </w:rPr>
              <w:br/>
            </w:r>
            <w:r w:rsidRPr="00E40800">
              <w:rPr>
                <w:b/>
                <w:bCs/>
              </w:rPr>
              <w:br/>
              <w:t>Punonjesve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Paga  </w:t>
            </w:r>
            <w:r w:rsidRPr="00E40800">
              <w:rPr>
                <w:b/>
                <w:bCs/>
              </w:rPr>
              <w:br/>
            </w:r>
            <w:r w:rsidRPr="00E40800">
              <w:rPr>
                <w:b/>
                <w:bCs/>
              </w:rPr>
              <w:br/>
              <w:t>600+601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Buxheti </w:t>
            </w:r>
            <w:r w:rsidRPr="00E40800">
              <w:rPr>
                <w:b/>
                <w:bCs/>
              </w:rPr>
              <w:br/>
            </w:r>
            <w:r w:rsidRPr="00E40800">
              <w:rPr>
                <w:b/>
                <w:bCs/>
              </w:rPr>
              <w:br/>
              <w:t>Total</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Presidenca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204,000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Kuvendi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414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420,000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845,000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Kontrolli Larte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Prokuroria e Pergjithshme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1,160,000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Zyra e Administrimit Buxhetit Gjyqesor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880,000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1,340,000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Gjykata Kushtetuese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91,000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Komisioni i Letrave me Vlera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Enti Kombetar i Zonave te Lira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Shkolla e Magjistratures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67,000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lang w:val="it-IT"/>
              </w:rPr>
              <w:t>Keshilli i Larte i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68,000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Keshilli Kombetar i RTV</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Avokati i Popullit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Komisioni i Sherbimit Civil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Komisioni Qendror i Zgjedhjeve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146,000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Avokati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113,000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xml:space="preserve">Inspekt. Larte Kontr. Deklarim Pasurise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132,000</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Autoriteti I Konkurences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44,000</w:t>
            </w:r>
          </w:p>
        </w:tc>
      </w:tr>
    </w:tbl>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Aneksi"/>
      </w:pPr>
      <w:r w:rsidRPr="00E40800">
        <w:t>Tab.2</w:t>
      </w:r>
    </w:p>
    <w:p w:rsidR="00FB4703" w:rsidRPr="00E40800" w:rsidRDefault="00FB4703" w:rsidP="00FB4703">
      <w:pPr>
        <w:pStyle w:val="Paragrafi"/>
        <w:rPr>
          <w:lang w:val="sq-AL"/>
        </w:rPr>
      </w:pPr>
    </w:p>
    <w:tbl>
      <w:tblPr>
        <w:tblW w:w="9566" w:type="dxa"/>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27"/>
        <w:gridCol w:w="3172"/>
        <w:gridCol w:w="1083"/>
        <w:gridCol w:w="974"/>
        <w:gridCol w:w="1083"/>
        <w:gridCol w:w="1083"/>
        <w:gridCol w:w="944"/>
        <w:gridCol w:w="784"/>
      </w:tblGrid>
      <w:tr w:rsidR="00FB4703" w:rsidRPr="00E40800">
        <w:trPr>
          <w:trHeight w:val="39"/>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ne 000 Lek</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6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Kodmin</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Investimet e vitit 2005 sipas Ministrive dhe Institucioneve (ne mije Lek)</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Nga </w:t>
            </w:r>
            <w:r w:rsidRPr="00E40800">
              <w:rPr>
                <w:b/>
                <w:bCs/>
              </w:rPr>
              <w:br/>
            </w:r>
            <w:r w:rsidRPr="00E40800">
              <w:rPr>
                <w:b/>
                <w:bCs/>
              </w:rPr>
              <w:br/>
              <w:t>Buxheti</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Nga te  </w:t>
            </w:r>
            <w:r w:rsidRPr="00E40800">
              <w:rPr>
                <w:b/>
                <w:bCs/>
              </w:rPr>
              <w:br/>
            </w:r>
            <w:r w:rsidRPr="00E40800">
              <w:rPr>
                <w:b/>
                <w:bCs/>
              </w:rPr>
              <w:br/>
              <w:t>Ardhurat</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Financimi </w:t>
            </w:r>
            <w:r w:rsidRPr="00E40800">
              <w:rPr>
                <w:b/>
                <w:bCs/>
              </w:rPr>
              <w:br/>
            </w:r>
            <w:r w:rsidRPr="00E40800">
              <w:rPr>
                <w:b/>
                <w:bCs/>
              </w:rPr>
              <w:br/>
              <w:t>Huaj</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Totali</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Presidenca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Kuvendi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Keshilli Ministrave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433,996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603,996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603996</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103,800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Administrata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61,200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433,996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495,196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Industrise dhe Energjitikes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579,000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3,991,118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4,580,118</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4580118</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092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per Energjine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3,991,118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4,020,818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per Gjeoshkencat e te tjera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440,300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per Minierat dhe Nd/je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Bujqesise dhe Ushqimit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1,675,000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2,820,150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4,532,150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4532150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95,250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e Insp. Bujq. Sig Ushq. e Mbr. Konsum.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34,800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203,300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Infrastruktura e Ujitjes dhe Kullimit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936,000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1,502,700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2,438,700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Mbesh.e prodh. Bujq, blek, agroind, dhe market.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333,500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858,100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1,191,800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Kerkimi dhe Ekstensioni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Menaxhimi i burimeve natyrore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273,800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474,800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Zhvillimi i Integruar Rural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57,300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73,300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109</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Sherbimi Keshillimor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Ministria e Rregullimit Territorit dhe Turizmit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4,496,000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4,986,000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9,491,000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9491000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73,000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Infrastruktura Urbane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073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Ujesjelles Kanalizime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2,464,000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4,369,561</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6,833,561</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074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Strehimi dhe Urbanistika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616,439</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1,234,439</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Programe te Turizmit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076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Ekonomise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per Ndermarrjet ne Likuidim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e Zhvillimit Ekonomik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Ministria e Transportit dhe Telekomunikacionit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7,390,000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5,132,265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12,526,265</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12526265</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1,395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27,395</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Rrjeti i Rrugeve Nacionale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6,138,000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1,397</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3,916,265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10,055,662</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Menaxhimi i Transportit Rrugor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26,600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Portet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1,610,400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Hekurudhat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Transporti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Aviacioni Civil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406,208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Regjistrimi i Pasurive te Paluajtshme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 xml:space="preserve">Ministria e Financave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373,840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496,840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496840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373,840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496,840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Zbatimi i Vendimeve Gjyqesore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Pagesa te menjehershme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e Institucioneve Financiare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Ministria e Arsimit dhe Shkences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3,328,000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598,000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4340000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 Baze (perfshire parashkollorin)</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1,673,000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315,000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1,988,000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 i Mesem (i pergjithshem)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684,600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133,000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817,600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 i Mesem (profesional)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558,400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622,400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 Universitar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274,000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764,000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 xml:space="preserve">Programet Ars. dhe Trainimi i Mesuesve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Fonde per Shkencen</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Kultures, Rinise dhe Sporteve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431,000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741,000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741000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Trashegimia Kulturore, Muzete, Bibliotekat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206,500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 xml:space="preserve">Arti dhe Kultura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143,400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3,600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Zhvillimi i Sportit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70,100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Programe specifike kulturore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Shendetesise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1,118,728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3,323,728</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3323728</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46,000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052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e Kujdesit Paresor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476,000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258,614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748,614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053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e Kujdesit Dytesor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1,597,000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29,500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860,114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2,486,614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055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e Shendetit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42,500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Drejtesise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661,500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944,105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1,607,105</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1607105</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409,200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502,200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Publikimet Zyrtare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Mjekesia Ligjore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034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Drejtoria e Pergjithshme e Burgjeve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549,000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534,905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1,083,905</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Sherbimi i Permbarimit Gjyqesor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per çeshtjet e biresimeve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Ministria e Puneve te Jashtme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Perfaqesite Diplomatike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Rendit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523,000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523000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46,363</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48,363</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 dhe Shkenca (Akademia)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Kulture dhe Sport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034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Policia e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225,891</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231,000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456,891</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Garda e Republikes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17,746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17,746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Mbrojtjes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2190000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24,584</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24,584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Sigurimi i Mbrojtjes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748,980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1,748,980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260,100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260,100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054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Shendetesia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129,690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129,690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Kulture e Sport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7,926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7,926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026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Mbesht.teknike e pune shkencore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18,720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18,720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Sherbimi Informativ Shteteror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54,686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52,286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52,356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Arsimi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2,644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19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Drejtoria e Radio Televizionit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per shqiptaret jashte kufirit dhe sherbimi per te huajt ne gjuhe huaj + Sateliti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Projekte teknike per futjen e teknologjive te reja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Prodhime filmike ose veprimtari artistike  </w:t>
            </w:r>
            <w:r w:rsidRPr="00E40800">
              <w:br/>
            </w:r>
            <w:r w:rsidRPr="00E40800">
              <w:br/>
              <w:t>mbarekombetare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084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Orkestra Simfonike e RTSH dhe Kinematografise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Pergjithshme e Arkivave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Rezervave te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Akademia e Shkences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70,200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70200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Kontrolli Larte i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Ministria e Punes dhe Ceshtjeve Sociale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397,000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671,000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671000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062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Sigurimi Shoqeror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063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Asistenca Sociale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064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e Kujdesit Social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397,000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065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Sherbimet e Punesimit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93,000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Mjedisit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59,800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173500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072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Programe per mbrojtjen e Mjedisit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44,800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157,300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Agjensia Kombetare e Privatizimit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Prokuroria e Pergjithshme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161,000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29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Zyra e Administrimit Buxhetit Gjygjsor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207,880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207,880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Gjykata Kushtetuese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Agjensia Telegrafike Shqiptare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Ministria e Pushtetit Vendor dhe Decentralizimit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665,000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729,000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729000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Administrimi i Prefekturave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10,700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Gjendja Civile ne Prefektura dhe Keshillat Lokale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Sekretaret e Deputeteve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Policia e Mbrojtjes nga Zjarri (M.N.Z.)</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 xml:space="preserve">Keshillat e Qarqeve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Mbeshtetje per infrastrukturen urbane dhe rurale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148</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Emergjencat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Pergjithshme e Doganave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210,000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Pergjithshme e Standartizimit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2,250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2250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2,250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39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Pergjith. e Pyjeve dhe Kullotave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Partite Politike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Pergjithshme e Tatimeve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48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Drejtoria e Metrologjise dhe Kalibrimit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Instituti Statistikes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 xml:space="preserve">Projekti Repoba (rregj i Pop.e Banesave)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Komisioni i Letrave me Vlera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Enti Kombetar i Zonave te Lira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Shkolla e Magjistratures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Fondi i Zhvillimit Shqiptar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1,174,536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1,664,536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1664536</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071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Programe Zhvillimi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490,000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1,174,536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1,664,536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Qendra Kombetare e Kinematografise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1,900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1,900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59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Instituti I Integrimit te Perndjekurve Politik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Rehabilitimi i Te perndjekureve Politik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rPr>
                <w:lang w:val="it-IT"/>
              </w:rPr>
            </w:pPr>
            <w:r w:rsidRPr="00E40800">
              <w:rPr>
                <w:b/>
                <w:bCs/>
                <w:lang w:val="it-IT"/>
              </w:rPr>
              <w:t>Keshilli i Larte i Drejtesise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Keshilli Kombetar i RTV</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Avokati i Popullit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67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Komisioni i Sherbimit Civil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Komisioni Qendror i Zgjedhjeve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Zgjedhjet e pergithsme dhe lokale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Avokati i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 xml:space="preserve">Inspektoriati i Larte Kontr. Deklarim Pasurise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Autoriteti i Konkurences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rPr>
                <w:b/>
                <w:bCs/>
              </w:rPr>
              <w:t>Ministria e Integrimit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95,000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79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Komiteti Shteteter i Kthimit dhe Kompensimit te Pronave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Totali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25,335,766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2,619,484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22,560,438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t>50,515,688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kontroll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25,335,766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2,619,484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22,560,438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50,515,688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E40800" w:rsidRDefault="00FB4703" w:rsidP="00FB4703">
            <w:pPr>
              <w:pStyle w:val="Tabele"/>
            </w:pPr>
            <w:r w:rsidRPr="00E40800">
              <w:rPr>
                <w:b/>
                <w:bCs/>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r>
      <w:tr w:rsidR="00FB4703"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E40800" w:rsidRDefault="00FB4703" w:rsidP="00FB4703">
            <w:pPr>
              <w:pStyle w:val="Tabele"/>
            </w:pPr>
            <w:r w:rsidRPr="00E40800">
              <w:t> </w:t>
            </w: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E40800" w:rsidRDefault="00FB4703" w:rsidP="00FB4703">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E40800" w:rsidRDefault="00FB4703" w:rsidP="00FB4703">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E40800" w:rsidRDefault="00FB4703" w:rsidP="00FB4703">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E40800" w:rsidRDefault="00FB4703" w:rsidP="00FB4703">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E40800" w:rsidRDefault="00FB4703" w:rsidP="00FB4703">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E40800" w:rsidRDefault="00FB4703" w:rsidP="00FB4703">
            <w:pPr>
              <w:pStyle w:val="Tabele"/>
            </w:pPr>
          </w:p>
        </w:tc>
      </w:tr>
    </w:tbl>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Aneksi"/>
      </w:pPr>
      <w:r w:rsidRPr="00E40800">
        <w:t>Tab.3</w:t>
      </w:r>
    </w:p>
    <w:p w:rsidR="00FB4703" w:rsidRPr="00E40800" w:rsidRDefault="00FB4703" w:rsidP="00FB4703">
      <w:pPr>
        <w:pStyle w:val="Tabele"/>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316"/>
        <w:gridCol w:w="1590"/>
        <w:gridCol w:w="974"/>
        <w:gridCol w:w="1103"/>
        <w:gridCol w:w="974"/>
        <w:gridCol w:w="125"/>
      </w:tblGrid>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090E4E" w:rsidRDefault="00FB4703" w:rsidP="00FB4703">
            <w:pPr>
              <w:pStyle w:val="Tabele"/>
              <w:rPr>
                <w:b/>
                <w:bCs/>
              </w:rPr>
            </w:pPr>
            <w:r w:rsidRPr="00090E4E">
              <w:rPr>
                <w:b/>
                <w:bCs/>
              </w:rPr>
              <w:t>ne 000 Lek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090E4E" w:rsidRDefault="00FB4703" w:rsidP="00FB4703">
            <w:pPr>
              <w:pStyle w:val="Tabele"/>
              <w:rPr>
                <w:b/>
                <w:bCs/>
              </w:rPr>
            </w:pPr>
            <w:r w:rsidRPr="00090E4E">
              <w:rPr>
                <w:b/>
                <w:bCs/>
              </w:rPr>
              <w:t>Nr</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rPr>
                <w:b/>
                <w:bCs/>
              </w:rPr>
            </w:pPr>
            <w:r w:rsidRPr="00090E4E">
              <w:rPr>
                <w:b/>
                <w:bCs/>
              </w:rPr>
              <w:t>Emertimi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rPr>
                <w:b/>
                <w:bCs/>
              </w:rPr>
            </w:pPr>
            <w:r w:rsidRPr="00090E4E">
              <w:rPr>
                <w:b/>
                <w:bCs/>
              </w:rPr>
              <w:t>Korente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rPr>
                <w:b/>
                <w:bCs/>
              </w:rPr>
            </w:pPr>
            <w:r w:rsidRPr="00090E4E">
              <w:rPr>
                <w:b/>
                <w:bCs/>
              </w:rPr>
              <w:t>Investime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rPr>
                <w:b/>
                <w:bCs/>
              </w:rPr>
            </w:pPr>
            <w:r w:rsidRPr="00090E4E">
              <w:rPr>
                <w:b/>
                <w:bCs/>
              </w:rPr>
              <w:t>Totali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DF4002" w:rsidRDefault="00FB4703" w:rsidP="00FB4703">
            <w:pPr>
              <w:pStyle w:val="Tabele"/>
            </w:pPr>
            <w:r w:rsidRPr="00DF4002">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xml:space="preserve">Gjykata e Larte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170,930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47,680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218,610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DF4002" w:rsidRDefault="00FB4703" w:rsidP="00FB4703">
            <w:pPr>
              <w:pStyle w:val="Tabele"/>
            </w:pPr>
            <w:r w:rsidRPr="00DF4002">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Gjykatat e Apelit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218,863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43,800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262,663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DF4002" w:rsidRDefault="00FB4703" w:rsidP="00FB4703">
            <w:pPr>
              <w:pStyle w:val="Tabele"/>
            </w:pPr>
            <w:r w:rsidRPr="00DF4002">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Gjykatat e Faktit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717,905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114,220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832,125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DF4002" w:rsidRDefault="00FB4703" w:rsidP="00FB4703">
            <w:pPr>
              <w:pStyle w:val="Tabele"/>
            </w:pPr>
            <w:r w:rsidRPr="00DF4002">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Z.A.B.GJ.</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24,302</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2,300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DF4002" w:rsidRDefault="00FB4703" w:rsidP="00FB4703">
            <w:pPr>
              <w:pStyle w:val="Tabele"/>
            </w:pPr>
            <w:r w:rsidRPr="00DF4002">
              <w:t>26,602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Shuma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090E4E" w:rsidRDefault="00FB4703" w:rsidP="00FB4703">
            <w:pPr>
              <w:pStyle w:val="Tabele"/>
            </w:pPr>
            <w:r w:rsidRPr="00090E4E">
              <w:t>1,132,000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090E4E" w:rsidRDefault="00FB4703" w:rsidP="00FB4703">
            <w:pPr>
              <w:pStyle w:val="Tabele"/>
            </w:pPr>
            <w:r w:rsidRPr="00090E4E">
              <w:t>208,000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090E4E" w:rsidRDefault="00FB4703" w:rsidP="00FB4703">
            <w:pPr>
              <w:pStyle w:val="Tabele"/>
            </w:pPr>
            <w:r w:rsidRPr="00090E4E">
              <w:t>1,340,000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r w:rsidR="00FB4703"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090E4E" w:rsidRDefault="00FB4703" w:rsidP="00FB4703">
            <w:pPr>
              <w:pStyle w:val="Tabele"/>
            </w:pPr>
            <w:r w:rsidRPr="00090E4E">
              <w:t> </w:t>
            </w:r>
          </w:p>
        </w:tc>
      </w:tr>
    </w:tbl>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tbl>
      <w:tblPr>
        <w:tblW w:w="5660" w:type="dxa"/>
        <w:tblInd w:w="91" w:type="dxa"/>
        <w:tblLook w:val="0000" w:firstRow="0" w:lastRow="0" w:firstColumn="0" w:lastColumn="0" w:noHBand="0" w:noVBand="0"/>
      </w:tblPr>
      <w:tblGrid>
        <w:gridCol w:w="1980"/>
        <w:gridCol w:w="460"/>
        <w:gridCol w:w="277"/>
        <w:gridCol w:w="2943"/>
      </w:tblGrid>
      <w:tr w:rsidR="00FB4703" w:rsidRPr="00E40800">
        <w:trPr>
          <w:trHeight w:val="255"/>
        </w:trPr>
        <w:tc>
          <w:tcPr>
            <w:tcW w:w="1980" w:type="dxa"/>
            <w:tcBorders>
              <w:top w:val="nil"/>
              <w:left w:val="nil"/>
              <w:bottom w:val="nil"/>
              <w:right w:val="nil"/>
            </w:tcBorders>
            <w:shd w:val="clear" w:color="auto" w:fill="auto"/>
            <w:noWrap/>
            <w:vAlign w:val="bottom"/>
          </w:tcPr>
          <w:p w:rsidR="00FB4703" w:rsidRPr="00E40800" w:rsidRDefault="00FB4703" w:rsidP="00FB4703">
            <w:pPr>
              <w:pStyle w:val="Tabele"/>
            </w:pPr>
            <w:r w:rsidRPr="00E40800">
              <w:t>Tabela Nr.4</w:t>
            </w:r>
          </w:p>
        </w:tc>
        <w:tc>
          <w:tcPr>
            <w:tcW w:w="46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3220" w:type="dxa"/>
            <w:gridSpan w:val="2"/>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trPr>
        <w:tc>
          <w:tcPr>
            <w:tcW w:w="5660" w:type="dxa"/>
            <w:gridSpan w:val="4"/>
            <w:tcBorders>
              <w:top w:val="nil"/>
              <w:left w:val="nil"/>
              <w:bottom w:val="nil"/>
              <w:right w:val="nil"/>
            </w:tcBorders>
            <w:shd w:val="clear" w:color="auto" w:fill="auto"/>
            <w:noWrap/>
            <w:vAlign w:val="bottom"/>
          </w:tcPr>
          <w:p w:rsidR="00FB4703" w:rsidRPr="00E40800" w:rsidRDefault="00FB4703" w:rsidP="00FB4703">
            <w:pPr>
              <w:pStyle w:val="Tabele"/>
            </w:pPr>
            <w:r w:rsidRPr="00E40800">
              <w:t>Buxheti i Vitit 2005</w:t>
            </w:r>
          </w:p>
        </w:tc>
      </w:tr>
      <w:tr w:rsidR="00FB4703" w:rsidRPr="00E40800">
        <w:trPr>
          <w:trHeight w:val="270"/>
        </w:trPr>
        <w:tc>
          <w:tcPr>
            <w:tcW w:w="1980"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737" w:type="dxa"/>
            <w:gridSpan w:val="2"/>
            <w:tcBorders>
              <w:top w:val="nil"/>
              <w:left w:val="nil"/>
              <w:bottom w:val="nil"/>
              <w:right w:val="nil"/>
            </w:tcBorders>
            <w:shd w:val="clear" w:color="auto" w:fill="auto"/>
            <w:noWrap/>
            <w:vAlign w:val="bottom"/>
          </w:tcPr>
          <w:p w:rsidR="00FB4703" w:rsidRPr="00E40800" w:rsidRDefault="00FB4703" w:rsidP="00FB4703">
            <w:pPr>
              <w:pStyle w:val="Tabele"/>
            </w:pPr>
          </w:p>
        </w:tc>
        <w:tc>
          <w:tcPr>
            <w:tcW w:w="2943" w:type="dxa"/>
            <w:tcBorders>
              <w:top w:val="nil"/>
              <w:left w:val="nil"/>
              <w:bottom w:val="nil"/>
              <w:right w:val="nil"/>
            </w:tcBorders>
            <w:shd w:val="clear" w:color="auto" w:fill="auto"/>
            <w:noWrap/>
            <w:vAlign w:val="bottom"/>
          </w:tcPr>
          <w:p w:rsidR="00FB4703" w:rsidRPr="00E40800" w:rsidRDefault="00FB4703" w:rsidP="00FB4703">
            <w:pPr>
              <w:pStyle w:val="Tabele"/>
            </w:pPr>
            <w:r w:rsidRPr="00E40800">
              <w:t>000/ leke</w:t>
            </w:r>
          </w:p>
        </w:tc>
      </w:tr>
      <w:tr w:rsidR="00FB4703" w:rsidRPr="00E40800">
        <w:trPr>
          <w:trHeight w:val="765"/>
        </w:trPr>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FB4703" w:rsidRPr="00E40800" w:rsidRDefault="00FB4703" w:rsidP="00FB4703">
            <w:pPr>
              <w:pStyle w:val="Tabele"/>
            </w:pPr>
            <w:r w:rsidRPr="00E40800">
              <w:t>Vendore</w:t>
            </w:r>
          </w:p>
        </w:tc>
        <w:tc>
          <w:tcPr>
            <w:tcW w:w="737" w:type="dxa"/>
            <w:gridSpan w:val="2"/>
            <w:tcBorders>
              <w:top w:val="single" w:sz="8" w:space="0" w:color="auto"/>
              <w:left w:val="nil"/>
              <w:bottom w:val="single" w:sz="8" w:space="0" w:color="auto"/>
              <w:right w:val="single" w:sz="8" w:space="0" w:color="auto"/>
            </w:tcBorders>
            <w:shd w:val="clear" w:color="auto" w:fill="auto"/>
            <w:vAlign w:val="center"/>
          </w:tcPr>
          <w:p w:rsidR="00FB4703" w:rsidRPr="00E40800" w:rsidRDefault="00FB4703" w:rsidP="00FB4703">
            <w:pPr>
              <w:pStyle w:val="Tabele"/>
            </w:pPr>
            <w:r w:rsidRPr="00E40800">
              <w:t xml:space="preserve">B </w:t>
            </w:r>
          </w:p>
          <w:p w:rsidR="00FB4703" w:rsidRPr="00E40800" w:rsidRDefault="00FB4703" w:rsidP="00FB4703">
            <w:pPr>
              <w:pStyle w:val="Tabele"/>
            </w:pPr>
            <w:r w:rsidRPr="00E40800">
              <w:t>ose</w:t>
            </w:r>
          </w:p>
          <w:p w:rsidR="00FB4703" w:rsidRPr="00E40800" w:rsidRDefault="00FB4703" w:rsidP="00FB4703">
            <w:pPr>
              <w:pStyle w:val="Tabele"/>
            </w:pPr>
            <w:r w:rsidRPr="00E40800">
              <w:t xml:space="preserve"> K</w:t>
            </w:r>
          </w:p>
        </w:tc>
        <w:tc>
          <w:tcPr>
            <w:tcW w:w="2943" w:type="dxa"/>
            <w:tcBorders>
              <w:top w:val="single" w:sz="8" w:space="0" w:color="auto"/>
              <w:left w:val="nil"/>
              <w:bottom w:val="single" w:sz="8" w:space="0" w:color="auto"/>
              <w:right w:val="single" w:sz="8" w:space="0" w:color="auto"/>
            </w:tcBorders>
            <w:shd w:val="clear" w:color="auto" w:fill="auto"/>
            <w:vAlign w:val="center"/>
          </w:tcPr>
          <w:p w:rsidR="00FB4703" w:rsidRPr="00E40800" w:rsidRDefault="00FB4703" w:rsidP="00FB4703">
            <w:pPr>
              <w:pStyle w:val="Tabele"/>
            </w:pPr>
            <w:r w:rsidRPr="00E40800">
              <w:t xml:space="preserve">Transferta e Pakushtezuar </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Tiranë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358420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Berat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73454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Ura-Vajgurore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18869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Poshnjë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17504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Kutalli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25413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Otilak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25314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Lumas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14371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Sinjë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11967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Tërpan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9137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Velabisht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23912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Vertop</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16474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Roshnik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11140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Cukalat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9089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Bulqizë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32766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Fushë-Bulqizë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9892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Trebisht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5970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Ostren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11891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Shupenzë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15405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Gjoricë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12426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Zerqan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14815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Martanesh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10641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Delvinë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16409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Vergo</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4776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Finiq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5290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Mesopotam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6107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Bilisht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15690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Miras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20954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Qënder-Bilisht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14521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Hoçisht (Morave)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12411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Progër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10587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Peshkopi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38261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Qënder Tomin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24042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Melan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12361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Kastriot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20141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7448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Maqellarë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25381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Fushë Muhurr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9348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Selishtë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8663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Sllovë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10692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Kala e Dodës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9905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Zall Dardhë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7653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Zall Reç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7102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Fushë-Çidhen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9990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Arras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12559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Luzni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9453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Durrës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62140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Shijak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14569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Manëz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21014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Sukth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33513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Rashbull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25307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Xhafzotaj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11922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Gjepalaj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Katund i 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24262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Maminas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7214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Ishëm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14855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Elbasan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152106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Cërrik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30000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Belsh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36696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Bradashesh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21305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Funarë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8412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Gostimë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24400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Gracen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7164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Grekan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10975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Gjinar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11418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Gjergjan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14810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14956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7455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Klos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8421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Labinot Mal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16554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Labinot Fushë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10495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16548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Paper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19258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Rrasë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5707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Shalëz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13179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Shirgjan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16828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Shushicë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20517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Tregan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9674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Zavalinë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7353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Fier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82500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Patos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56496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Roskovec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15029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Mbrostar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17256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Libofshë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18218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Dermenas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23849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Topojë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12350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Levan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24277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Frakull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19325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Portëz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16850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 (Çlirim)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18735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Ruzhdie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7736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Zharrëz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14308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Kurjan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12684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Kuman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17173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Strumë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17311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Cakran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34546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Gramsh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29548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Pishaj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15424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Kodovjat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8717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Kukur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10235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Skëndërbegas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6670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Poroçan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7069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Lënie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6483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Tunjë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7244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Sult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5516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Kushovë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5733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Gjirokastër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37458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Libohovë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8683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 Libohovë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5803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Odrie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4187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Lunxhëri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6369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Antigonë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5291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Lazarat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6370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Cepo</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9296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Picar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7354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Dropull i Poshtëm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14144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Dropull i Sipërm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18537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Pogon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5618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Zagorie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5704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Krumë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22861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Golaj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18918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Fajzë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11076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Gjinaj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7561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Kavajë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30533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Rrogozhinë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13829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15004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Luz i Vogël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10576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Helmes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9283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Kryevidh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10389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Synej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13485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Golem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5726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Sinaballaj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4833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Gosë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9934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Ersekë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13988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Leskovik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7262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9457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7989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Çlirim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5344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Barmash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5701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Piskal-Novoselë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5293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 Leskovik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4379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Korçë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94189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Maliq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15999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Voskopojë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7739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Lekas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6481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Vithkuq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8438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Liqenas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10026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27312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Vreshtas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19193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Libonik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21194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Pirg</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19286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Gore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8966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Moglicë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8050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Voskop</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10888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Drenovë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9632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7535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 Bulgarec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19859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Krujë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34200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Fushë-Krujë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53985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Nikël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19922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Bubq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13907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Kodër Thumanë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31448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Cudhi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10207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Kuçovë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37299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Perondi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24456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Kozarë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14564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Kukës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55066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Malzi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11937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Bicaj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16359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Ujmisht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8700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Tërthorë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9755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Shtiqen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9222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Zapod</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8843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Shishtavec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14516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Topojan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9670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Bushtricë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8017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Surroj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6702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Arren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5084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5938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Kalis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6647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Grykë-Çaje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7912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Laç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45374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Mamurras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55457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Milot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25055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Fushë-Kuqe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14206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Lezhë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25469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Zejmen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15200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Shënkoll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19765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Shëngjin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10025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10922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Balldren i 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15995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Kallmet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13078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Ungrej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9671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Dajç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11487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Blinisht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10755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Librazhd</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15605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Prrenjas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18214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Qukës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24630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Stravaj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9094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Hotolisht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14880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Polis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10815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27209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Lunik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10424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Orenjë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15583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Stëblevë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7350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Rrajcë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24536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Lushnjë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62523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Divjakë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30572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Ballagat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8235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Hysgjokaj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7094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Golem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12737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Fier Shegan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17394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Karbunarë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11494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Allkaj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11781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Krutje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16928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Bubullimë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11820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Kolonjë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12176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Gradishtë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16788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Rremas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13164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Grabian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10320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Tërbuf</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24155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Dushk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15886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Koplik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18131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13227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Kelmend</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11792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Kastrat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19416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Shkrelë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12206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Gruemirë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23688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Ballsh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20603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18588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Hekal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11157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Aranitas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10378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Fratar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9277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Kute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7844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Kapaj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5218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Ngracan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4112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Greshicë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4656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Burrel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39803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Klos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35500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Komsi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14750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Ulëz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8386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9149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Rukaj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11708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Derjan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9049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Macukull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9486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11928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Suç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9579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Gurë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10891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Xibër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10087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Rrëshen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37424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Rubik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23217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Kaçinar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9714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Orosh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11588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13977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Kthellë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11204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Selitë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10476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Peqin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22255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Gjocaj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14917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Karinë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4770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Pajovë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16843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Përparim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11718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Shezë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10033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Përmet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20367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Këlcyrë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9628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Çarshovë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6834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 Piskovë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6146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Sukë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8718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Ballaban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7560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Deshnicë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7682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Frashër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6919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Petran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5909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Pogradec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29548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Buçimas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27629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Hudenisht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11162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Proptisht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16338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Velçan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9673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Trebinjë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10873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Dardhas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8857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Çerravë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18444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Pukë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23548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Fushë-Arrëz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15205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Qerret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10600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Qelëz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11050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Gjegjan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13954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8558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Iballë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9915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Blerim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7730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Qafë-Mali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10914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Rrapë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8568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Sarandë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20115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Konispol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7739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Lukovë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6298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Dhivër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5101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Livadhja</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6288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Xarrë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4365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Markat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5973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Ksamil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5187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Aliko</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5364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Çorovodë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24160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Poliçan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21858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12320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Potom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7217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Leshnjë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5908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Cepan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7157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Vendreshe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7708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Bogovë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7679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Zhepë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8025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Gjerbes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7696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Shkodër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168213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Vau i Dejës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31313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Postribë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21300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Pult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8364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Shosh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6714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Shalë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9505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Shllak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6586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Gur i Zi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22951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Vig-Mnelë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8821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Hajmel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12878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Bushat (new)</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36882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Bërdicë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17281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Velipojë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10716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Dajç (Bregbune)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12940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Ana e Malit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11494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Rrethinat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35035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Temal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7110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Tepelenë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22707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Memaliaj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18077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10765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Fshat Memaliaj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7413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Krahëz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9063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Qesarat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7041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Luftinjë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9693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6195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Kurvelesh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7007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Lopez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6748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Vorë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35675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Kamëz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131045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Petrelë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11893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Bërzhitë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11381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Baldushk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12964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Zall Bastar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13723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Shëngjergj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9623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Dajt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14288</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Vaqarr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13500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Pezë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9649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Ndroq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13599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Prezë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8041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Zall Herr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16612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Paskuqan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47770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Bërxullë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15094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Kashar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33020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Farkë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7154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Krrabë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7132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Bajram Curri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25497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Fshat Tropoje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13557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Bytyç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8519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Lekbibaj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9542</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10077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Margegaj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10267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Bujan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10269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Llugaj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8995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Vlorë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123264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Orikum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17004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Selenicë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11941</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Himarë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7906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20046</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Novoselë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20003</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Brataj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12675</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Hore Vranisht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10849</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Shushicë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13940</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Vllahinë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13387</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Kote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12344</w:t>
            </w:r>
          </w:p>
        </w:tc>
      </w:tr>
      <w:tr w:rsidR="00FB4703"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Sevastar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10946</w:t>
            </w:r>
          </w:p>
        </w:tc>
      </w:tr>
      <w:tr w:rsidR="00FB4703" w:rsidRPr="00E40800">
        <w:trPr>
          <w:trHeight w:val="270"/>
        </w:trPr>
        <w:tc>
          <w:tcPr>
            <w:tcW w:w="1980" w:type="dxa"/>
            <w:tcBorders>
              <w:top w:val="nil"/>
              <w:left w:val="single" w:sz="8" w:space="0" w:color="auto"/>
              <w:bottom w:val="nil"/>
              <w:right w:val="single" w:sz="4" w:space="0" w:color="auto"/>
            </w:tcBorders>
            <w:shd w:val="clear" w:color="auto" w:fill="auto"/>
            <w:noWrap/>
            <w:vAlign w:val="bottom"/>
          </w:tcPr>
          <w:p w:rsidR="00FB4703" w:rsidRPr="00E40800" w:rsidRDefault="00FB4703" w:rsidP="00FB4703">
            <w:pPr>
              <w:pStyle w:val="Tabele"/>
            </w:pPr>
            <w:r w:rsidRPr="00E40800">
              <w:t>Armen</w:t>
            </w:r>
          </w:p>
        </w:tc>
        <w:tc>
          <w:tcPr>
            <w:tcW w:w="737" w:type="dxa"/>
            <w:gridSpan w:val="2"/>
            <w:tcBorders>
              <w:top w:val="nil"/>
              <w:left w:val="nil"/>
              <w:bottom w:val="nil"/>
              <w:right w:val="single" w:sz="4" w:space="0" w:color="auto"/>
            </w:tcBorders>
            <w:shd w:val="clear" w:color="auto" w:fill="auto"/>
            <w:noWrap/>
            <w:vAlign w:val="bottom"/>
          </w:tcPr>
          <w:p w:rsidR="00FB4703" w:rsidRPr="00E40800" w:rsidRDefault="00FB4703" w:rsidP="00FB4703">
            <w:pPr>
              <w:pStyle w:val="Tabele"/>
            </w:pPr>
            <w:r w:rsidRPr="00E40800">
              <w:t>K</w:t>
            </w:r>
          </w:p>
        </w:tc>
        <w:tc>
          <w:tcPr>
            <w:tcW w:w="2943" w:type="dxa"/>
            <w:tcBorders>
              <w:top w:val="nil"/>
              <w:left w:val="nil"/>
              <w:bottom w:val="nil"/>
              <w:right w:val="single" w:sz="8" w:space="0" w:color="auto"/>
            </w:tcBorders>
            <w:shd w:val="clear" w:color="auto" w:fill="auto"/>
            <w:noWrap/>
            <w:vAlign w:val="bottom"/>
          </w:tcPr>
          <w:p w:rsidR="00FB4703" w:rsidRPr="00E40800" w:rsidRDefault="00FB4703" w:rsidP="00FB4703">
            <w:pPr>
              <w:pStyle w:val="Tabele"/>
            </w:pPr>
            <w:r w:rsidRPr="00E40800">
              <w:t>13829</w:t>
            </w:r>
          </w:p>
        </w:tc>
      </w:tr>
      <w:tr w:rsidR="00FB4703" w:rsidRPr="00E40800">
        <w:trPr>
          <w:trHeight w:val="270"/>
        </w:trPr>
        <w:tc>
          <w:tcPr>
            <w:tcW w:w="2717"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FB4703" w:rsidRPr="00E40800" w:rsidRDefault="00FB4703" w:rsidP="00FB4703">
            <w:pPr>
              <w:pStyle w:val="Tabele"/>
            </w:pPr>
            <w:r w:rsidRPr="00E40800">
              <w:t>TOTAL</w:t>
            </w:r>
          </w:p>
        </w:tc>
        <w:tc>
          <w:tcPr>
            <w:tcW w:w="2943" w:type="dxa"/>
            <w:tcBorders>
              <w:top w:val="single" w:sz="8" w:space="0" w:color="auto"/>
              <w:left w:val="nil"/>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6519576</w:t>
            </w:r>
          </w:p>
        </w:tc>
      </w:tr>
    </w:tbl>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tbl>
      <w:tblPr>
        <w:tblW w:w="6520" w:type="dxa"/>
        <w:tblInd w:w="91" w:type="dxa"/>
        <w:tblLook w:val="0000" w:firstRow="0" w:lastRow="0" w:firstColumn="0" w:lastColumn="0" w:noHBand="0" w:noVBand="0"/>
      </w:tblPr>
      <w:tblGrid>
        <w:gridCol w:w="460"/>
        <w:gridCol w:w="2813"/>
        <w:gridCol w:w="3320"/>
      </w:tblGrid>
      <w:tr w:rsidR="00FB4703" w:rsidRPr="00E40800">
        <w:trPr>
          <w:trHeight w:val="255"/>
        </w:trPr>
        <w:tc>
          <w:tcPr>
            <w:tcW w:w="3200" w:type="dxa"/>
            <w:gridSpan w:val="2"/>
            <w:tcBorders>
              <w:top w:val="nil"/>
              <w:left w:val="nil"/>
              <w:bottom w:val="nil"/>
              <w:right w:val="nil"/>
            </w:tcBorders>
            <w:shd w:val="clear" w:color="auto" w:fill="auto"/>
            <w:noWrap/>
            <w:vAlign w:val="bottom"/>
          </w:tcPr>
          <w:p w:rsidR="00FB4703" w:rsidRPr="00E40800" w:rsidRDefault="00FB4703" w:rsidP="00FB4703">
            <w:pPr>
              <w:pStyle w:val="Tabele"/>
            </w:pPr>
            <w:r w:rsidRPr="00E40800">
              <w:t>Tabela Nr.4</w:t>
            </w:r>
          </w:p>
        </w:tc>
        <w:tc>
          <w:tcPr>
            <w:tcW w:w="3320"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55"/>
        </w:trPr>
        <w:tc>
          <w:tcPr>
            <w:tcW w:w="6520" w:type="dxa"/>
            <w:gridSpan w:val="3"/>
            <w:tcBorders>
              <w:top w:val="nil"/>
              <w:left w:val="nil"/>
              <w:bottom w:val="nil"/>
              <w:right w:val="nil"/>
            </w:tcBorders>
            <w:shd w:val="clear" w:color="auto" w:fill="auto"/>
            <w:noWrap/>
            <w:vAlign w:val="bottom"/>
          </w:tcPr>
          <w:p w:rsidR="00FB4703" w:rsidRPr="00E40800" w:rsidRDefault="00FB4703" w:rsidP="00FB4703">
            <w:pPr>
              <w:pStyle w:val="Tabele"/>
            </w:pPr>
            <w:r w:rsidRPr="00E40800">
              <w:t>Buxheti i Vitit 2005</w:t>
            </w:r>
          </w:p>
        </w:tc>
      </w:tr>
      <w:tr w:rsidR="00FB4703" w:rsidRPr="00E40800">
        <w:trPr>
          <w:trHeight w:val="270"/>
        </w:trPr>
        <w:tc>
          <w:tcPr>
            <w:tcW w:w="387"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2813" w:type="dxa"/>
            <w:tcBorders>
              <w:top w:val="nil"/>
              <w:left w:val="nil"/>
              <w:bottom w:val="nil"/>
              <w:right w:val="nil"/>
            </w:tcBorders>
            <w:shd w:val="clear" w:color="auto" w:fill="auto"/>
            <w:noWrap/>
            <w:vAlign w:val="bottom"/>
          </w:tcPr>
          <w:p w:rsidR="00FB4703" w:rsidRPr="00E40800" w:rsidRDefault="00FB4703" w:rsidP="00FB4703">
            <w:pPr>
              <w:pStyle w:val="Tabele"/>
            </w:pPr>
          </w:p>
        </w:tc>
        <w:tc>
          <w:tcPr>
            <w:tcW w:w="3320" w:type="dxa"/>
            <w:tcBorders>
              <w:top w:val="nil"/>
              <w:left w:val="nil"/>
              <w:bottom w:val="nil"/>
              <w:right w:val="nil"/>
            </w:tcBorders>
            <w:shd w:val="clear" w:color="auto" w:fill="auto"/>
            <w:noWrap/>
            <w:vAlign w:val="bottom"/>
          </w:tcPr>
          <w:p w:rsidR="00FB4703" w:rsidRPr="00E40800" w:rsidRDefault="00FB4703" w:rsidP="00FB4703">
            <w:pPr>
              <w:pStyle w:val="Tabele"/>
            </w:pPr>
          </w:p>
        </w:tc>
      </w:tr>
      <w:tr w:rsidR="00FB4703" w:rsidRPr="00E40800">
        <w:trPr>
          <w:trHeight w:val="270"/>
        </w:trPr>
        <w:tc>
          <w:tcPr>
            <w:tcW w:w="3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FB4703" w:rsidRPr="00E40800" w:rsidRDefault="00FB4703" w:rsidP="00FB4703">
            <w:pPr>
              <w:pStyle w:val="Tabele"/>
            </w:pPr>
            <w:r w:rsidRPr="00E40800">
              <w:t>Nr</w:t>
            </w:r>
          </w:p>
        </w:tc>
        <w:tc>
          <w:tcPr>
            <w:tcW w:w="2813" w:type="dxa"/>
            <w:tcBorders>
              <w:top w:val="single" w:sz="8" w:space="0" w:color="auto"/>
              <w:left w:val="nil"/>
              <w:bottom w:val="single" w:sz="8" w:space="0" w:color="auto"/>
              <w:right w:val="single" w:sz="8" w:space="0" w:color="auto"/>
            </w:tcBorders>
            <w:shd w:val="clear" w:color="auto" w:fill="auto"/>
            <w:noWrap/>
            <w:vAlign w:val="center"/>
          </w:tcPr>
          <w:p w:rsidR="00FB4703" w:rsidRPr="00E40800" w:rsidRDefault="00FB4703" w:rsidP="00FB4703">
            <w:pPr>
              <w:pStyle w:val="Tabele"/>
            </w:pPr>
            <w:r w:rsidRPr="00E40800">
              <w:t>Qarku</w:t>
            </w:r>
          </w:p>
        </w:tc>
        <w:tc>
          <w:tcPr>
            <w:tcW w:w="3320" w:type="dxa"/>
            <w:tcBorders>
              <w:top w:val="single" w:sz="8" w:space="0" w:color="auto"/>
              <w:left w:val="nil"/>
              <w:bottom w:val="single" w:sz="8" w:space="0" w:color="auto"/>
              <w:right w:val="single" w:sz="8" w:space="0" w:color="auto"/>
            </w:tcBorders>
            <w:shd w:val="clear" w:color="auto" w:fill="auto"/>
            <w:vAlign w:val="center"/>
          </w:tcPr>
          <w:p w:rsidR="00FB4703" w:rsidRPr="00E40800" w:rsidRDefault="00FB4703" w:rsidP="00FB4703">
            <w:pPr>
              <w:pStyle w:val="Tabele"/>
            </w:pPr>
            <w:r w:rsidRPr="00E40800">
              <w:t xml:space="preserve">Transferta e Pakushtezuar </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BERAT</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47301</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2</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FIER</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49377</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3</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ELBASAN</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81096</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4</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KORCE</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57947</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5</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KUKES</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60384</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6</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SHKODER</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59247</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7</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TIRANE</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38705</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8</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DURRES</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34763</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9</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VLORE</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39028</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10</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GJIROKASTER</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51416</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11</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DIBER</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73214</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12</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QARKU LEZHE</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51383</w:t>
            </w:r>
          </w:p>
        </w:tc>
      </w:tr>
      <w:tr w:rsidR="00FB4703"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2813" w:type="dxa"/>
            <w:tcBorders>
              <w:top w:val="nil"/>
              <w:left w:val="nil"/>
              <w:bottom w:val="single" w:sz="4" w:space="0" w:color="auto"/>
              <w:right w:val="single" w:sz="4" w:space="0" w:color="auto"/>
            </w:tcBorders>
            <w:shd w:val="clear" w:color="auto" w:fill="auto"/>
            <w:noWrap/>
            <w:vAlign w:val="bottom"/>
          </w:tcPr>
          <w:p w:rsidR="00FB4703" w:rsidRPr="00E40800" w:rsidRDefault="00FB4703" w:rsidP="00FB4703">
            <w:pPr>
              <w:pStyle w:val="Tabele"/>
            </w:pPr>
            <w:r w:rsidRPr="00E40800">
              <w:t> </w:t>
            </w:r>
          </w:p>
        </w:tc>
        <w:tc>
          <w:tcPr>
            <w:tcW w:w="3320" w:type="dxa"/>
            <w:tcBorders>
              <w:top w:val="nil"/>
              <w:left w:val="nil"/>
              <w:bottom w:val="single" w:sz="4" w:space="0" w:color="auto"/>
              <w:right w:val="single" w:sz="8" w:space="0" w:color="auto"/>
            </w:tcBorders>
            <w:shd w:val="clear" w:color="auto" w:fill="auto"/>
            <w:noWrap/>
            <w:vAlign w:val="bottom"/>
          </w:tcPr>
          <w:p w:rsidR="00FB4703" w:rsidRPr="00E40800" w:rsidRDefault="00FB4703" w:rsidP="00FB4703">
            <w:pPr>
              <w:pStyle w:val="Tabele"/>
            </w:pPr>
            <w:r w:rsidRPr="00E40800">
              <w:t> </w:t>
            </w:r>
          </w:p>
        </w:tc>
      </w:tr>
      <w:tr w:rsidR="00FB4703" w:rsidRPr="00E40800">
        <w:trPr>
          <w:trHeight w:val="270"/>
        </w:trPr>
        <w:tc>
          <w:tcPr>
            <w:tcW w:w="3200"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FB4703" w:rsidRPr="00E40800" w:rsidRDefault="00FB4703" w:rsidP="00FB4703">
            <w:pPr>
              <w:pStyle w:val="Tabele"/>
            </w:pPr>
            <w:r w:rsidRPr="00E40800">
              <w:t>Totali</w:t>
            </w:r>
          </w:p>
        </w:tc>
        <w:tc>
          <w:tcPr>
            <w:tcW w:w="3320" w:type="dxa"/>
            <w:tcBorders>
              <w:top w:val="nil"/>
              <w:left w:val="nil"/>
              <w:bottom w:val="single" w:sz="8" w:space="0" w:color="auto"/>
              <w:right w:val="single" w:sz="8" w:space="0" w:color="auto"/>
            </w:tcBorders>
            <w:shd w:val="clear" w:color="auto" w:fill="auto"/>
            <w:noWrap/>
            <w:vAlign w:val="bottom"/>
          </w:tcPr>
          <w:p w:rsidR="00FB4703" w:rsidRPr="00E40800" w:rsidRDefault="00FB4703" w:rsidP="00FB4703">
            <w:pPr>
              <w:pStyle w:val="Tabele"/>
            </w:pPr>
            <w:r w:rsidRPr="00E40800">
              <w:t>643860</w:t>
            </w:r>
          </w:p>
        </w:tc>
      </w:tr>
    </w:tbl>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FB4703" w:rsidP="00FB4703">
      <w:pPr>
        <w:pStyle w:val="Paragrafi"/>
        <w:rPr>
          <w:lang w:val="sq-AL"/>
        </w:rPr>
        <w:sectPr w:rsidR="00FB4703" w:rsidRPr="00E40800" w:rsidSect="00FB4703">
          <w:pgSz w:w="11907" w:h="16840" w:code="9"/>
          <w:pgMar w:top="1418" w:right="1418" w:bottom="1418" w:left="1418" w:header="1304" w:footer="1134" w:gutter="0"/>
          <w:cols w:space="720"/>
          <w:noEndnote/>
          <w:docGrid w:linePitch="326" w:charSpace="47288"/>
        </w:sectPr>
      </w:pPr>
    </w:p>
    <w:p w:rsidR="00FB4703" w:rsidRPr="00E40800" w:rsidRDefault="00FB4703" w:rsidP="00FB4703">
      <w:pPr>
        <w:pStyle w:val="Paragrafi"/>
        <w:rPr>
          <w:lang w:val="sq-AL"/>
        </w:rPr>
      </w:pPr>
    </w:p>
    <w:p w:rsidR="00FB4703" w:rsidRPr="00E40800" w:rsidRDefault="00FB4703" w:rsidP="00FB4703">
      <w:pPr>
        <w:pStyle w:val="Paragrafi"/>
        <w:rPr>
          <w:lang w:val="sq-AL"/>
        </w:rPr>
      </w:pPr>
    </w:p>
    <w:p w:rsidR="00FB4703" w:rsidRPr="00E40800" w:rsidRDefault="00702AD3" w:rsidP="00FB4703">
      <w:pPr>
        <w:pStyle w:val="Figure"/>
        <w:rPr>
          <w:lang w:val="sq-AL"/>
        </w:rPr>
      </w:pPr>
      <w:r w:rsidRPr="00E40800">
        <w:rPr>
          <w:noProof/>
          <w:lang w:val="en-GB" w:eastAsia="en-GB"/>
        </w:rPr>
        <w:drawing>
          <wp:inline distT="0" distB="0" distL="0" distR="0">
            <wp:extent cx="8977630" cy="4536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7630" cy="4536440"/>
                    </a:xfrm>
                    <a:prstGeom prst="rect">
                      <a:avLst/>
                    </a:prstGeom>
                    <a:noFill/>
                    <a:ln>
                      <a:noFill/>
                    </a:ln>
                  </pic:spPr>
                </pic:pic>
              </a:graphicData>
            </a:graphic>
          </wp:inline>
        </w:drawing>
      </w: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FB4703" w:rsidP="00FB4703">
      <w:pPr>
        <w:pStyle w:val="Paragrafi"/>
      </w:pPr>
    </w:p>
    <w:p w:rsidR="00FB4703" w:rsidRPr="00E40800" w:rsidRDefault="00702AD3" w:rsidP="00FB4703">
      <w:pPr>
        <w:pStyle w:val="Figure"/>
      </w:pPr>
      <w:r w:rsidRPr="00E40800">
        <w:rPr>
          <w:noProof/>
          <w:lang w:val="en-GB" w:eastAsia="en-GB"/>
        </w:rPr>
        <w:drawing>
          <wp:inline distT="0" distB="0" distL="0" distR="0">
            <wp:extent cx="8989695" cy="195961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89695" cy="195961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4119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89695" cy="444119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738370"/>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89695" cy="473837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554609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89695" cy="554609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134350" cy="6044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34350" cy="6044565"/>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906510" cy="604456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06510" cy="6044565"/>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977630" cy="51066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77630" cy="510667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669020" cy="6044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69020" cy="6044565"/>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989695" cy="444119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89695" cy="444119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5367655"/>
            <wp:effectExtent l="0" t="0" r="190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89695" cy="536765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360410" cy="605663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60410" cy="605663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57473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77630" cy="5747385"/>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894445" cy="545084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4445" cy="545084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600900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89695" cy="6009005"/>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942070" cy="4714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42070" cy="471424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2633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77630" cy="426339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37320" cy="60566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37320" cy="6056630"/>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977630" cy="485711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77630" cy="48571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13190" cy="54032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13190" cy="54032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4888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77630" cy="44888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25255" cy="4488815"/>
            <wp:effectExtent l="0" t="0" r="444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25255" cy="44888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524375"/>
            <wp:effectExtent l="0" t="0" r="190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89695" cy="452437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4888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77630" cy="44888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5640705"/>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89695" cy="564070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761865"/>
            <wp:effectExtent l="0" t="0" r="190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89695" cy="476186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17695"/>
            <wp:effectExtent l="0" t="0" r="190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989695" cy="441769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37320" cy="4476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37320" cy="447675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53255"/>
            <wp:effectExtent l="0" t="0" r="190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89695" cy="445325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37007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989695" cy="437007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50088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989695" cy="450088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289290" cy="60445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89290" cy="6044565"/>
                    </a:xfrm>
                    <a:prstGeom prst="rect">
                      <a:avLst/>
                    </a:prstGeom>
                    <a:noFill/>
                    <a:ln>
                      <a:noFill/>
                    </a:ln>
                  </pic:spPr>
                </pic:pic>
              </a:graphicData>
            </a:graphic>
          </wp:inline>
        </w:drawing>
      </w:r>
    </w:p>
    <w:p w:rsidR="00FB4703" w:rsidRPr="00E40800" w:rsidRDefault="00702AD3" w:rsidP="00FB4703">
      <w:pPr>
        <w:pStyle w:val="Figure"/>
      </w:pPr>
      <w:r w:rsidRPr="00E40800">
        <w:rPr>
          <w:noProof/>
          <w:lang w:val="en-GB" w:eastAsia="en-GB"/>
        </w:rPr>
        <w:drawing>
          <wp:inline distT="0" distB="0" distL="0" distR="0">
            <wp:extent cx="8989695" cy="4334510"/>
            <wp:effectExtent l="0" t="0" r="190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989695" cy="433451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13190" cy="44888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13190" cy="44888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7675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89695" cy="447675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5023485"/>
            <wp:effectExtent l="0" t="0" r="190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989695" cy="502348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4532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977630" cy="445325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524375"/>
            <wp:effectExtent l="0" t="0" r="190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89695" cy="452437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811260" cy="4738370"/>
            <wp:effectExtent l="0" t="0" r="889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811260" cy="473837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53644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989695" cy="453644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4532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977630" cy="445325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57200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989695" cy="457200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5008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977630" cy="450088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65320"/>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989695" cy="446532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29760"/>
            <wp:effectExtent l="0" t="0" r="1905"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89695" cy="442976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13190" cy="454850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013190" cy="454850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963795"/>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977630" cy="496379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0563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989695" cy="440563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65320"/>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989695" cy="446532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37320" cy="489267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37320" cy="489267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441190"/>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989695" cy="444119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89695" cy="4559935"/>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989695" cy="455993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48881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977630" cy="448881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9001760" cy="4548505"/>
            <wp:effectExtent l="0" t="0" r="889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01760" cy="4548505"/>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702AD3" w:rsidP="00FB4703">
      <w:pPr>
        <w:pStyle w:val="Figure"/>
      </w:pPr>
      <w:r w:rsidRPr="00E40800">
        <w:rPr>
          <w:noProof/>
          <w:lang w:val="en-GB" w:eastAsia="en-GB"/>
        </w:rPr>
        <w:drawing>
          <wp:inline distT="0" distB="0" distL="0" distR="0">
            <wp:extent cx="8977630" cy="44653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977630" cy="4465320"/>
                    </a:xfrm>
                    <a:prstGeom prst="rect">
                      <a:avLst/>
                    </a:prstGeom>
                    <a:noFill/>
                    <a:ln>
                      <a:noFill/>
                    </a:ln>
                  </pic:spPr>
                </pic:pic>
              </a:graphicData>
            </a:graphic>
          </wp:inline>
        </w:drawing>
      </w: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pPr>
    </w:p>
    <w:p w:rsidR="00FB4703" w:rsidRPr="00E40800" w:rsidRDefault="00FB4703" w:rsidP="00FB4703">
      <w:pPr>
        <w:pStyle w:val="Paragrafi"/>
        <w:ind w:firstLine="0"/>
        <w:jc w:val="center"/>
        <w:sectPr w:rsidR="00FB4703" w:rsidRPr="00E40800" w:rsidSect="00FB4703">
          <w:pgSz w:w="17280" w:h="12240" w:orient="landscape" w:code="9"/>
          <w:pgMar w:top="1298" w:right="1440" w:bottom="1412" w:left="1684" w:header="720" w:footer="720" w:gutter="0"/>
          <w:cols w:space="720"/>
          <w:noEndnote/>
          <w:docGrid w:linePitch="326" w:charSpace="47288"/>
        </w:sectPr>
      </w:pPr>
    </w:p>
    <w:p w:rsidR="00FB4703" w:rsidRPr="00E40800" w:rsidRDefault="00702AD3" w:rsidP="00FB4703">
      <w:pPr>
        <w:pStyle w:val="Figure"/>
      </w:pPr>
      <w:r w:rsidRPr="00E40800">
        <w:rPr>
          <w:noProof/>
          <w:lang w:val="en-GB" w:eastAsia="en-GB"/>
        </w:rPr>
        <w:drawing>
          <wp:inline distT="0" distB="0" distL="0" distR="0">
            <wp:extent cx="5486400" cy="87522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8752205"/>
                    </a:xfrm>
                    <a:prstGeom prst="rect">
                      <a:avLst/>
                    </a:prstGeom>
                    <a:noFill/>
                    <a:ln>
                      <a:noFill/>
                    </a:ln>
                  </pic:spPr>
                </pic:pic>
              </a:graphicData>
            </a:graphic>
          </wp:inline>
        </w:drawing>
      </w:r>
    </w:p>
    <w:sectPr w:rsidR="00FB4703" w:rsidRPr="00E40800" w:rsidSect="00FB4703">
      <w:footerReference w:type="even" r:id="rId65"/>
      <w:footerReference w:type="default" r:id="rId66"/>
      <w:pgSz w:w="11907" w:h="16840" w:code="9"/>
      <w:pgMar w:top="1418" w:right="1418" w:bottom="1418" w:left="1418" w:header="0" w:footer="1134" w:gutter="0"/>
      <w:pgNumType w:start="692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02AD3">
      <w:r>
        <w:separator/>
      </w:r>
    </w:p>
  </w:endnote>
  <w:endnote w:type="continuationSeparator" w:id="0">
    <w:p w:rsidR="00000000" w:rsidRDefault="0070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Default="007F79BA" w:rsidP="00FB4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79BA" w:rsidRDefault="007F79BA" w:rsidP="00FB47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Default="007F79BA" w:rsidP="00FB4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02AD3">
      <w:rPr>
        <w:rStyle w:val="PageNumber"/>
        <w:noProof/>
      </w:rPr>
      <w:t>6926</w:t>
    </w:r>
    <w:r>
      <w:rPr>
        <w:rStyle w:val="PageNumber"/>
      </w:rPr>
      <w:fldChar w:fldCharType="end"/>
    </w:r>
  </w:p>
  <w:p w:rsidR="007F79BA" w:rsidRDefault="007F79BA" w:rsidP="00FB470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Default="007F79BA" w:rsidP="00FB4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79BA" w:rsidRDefault="007F79BA" w:rsidP="00FB470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Pr="000A6984" w:rsidRDefault="007F79BA" w:rsidP="00FB4703">
    <w:pPr>
      <w:pStyle w:val="Footer"/>
      <w:framePr w:wrap="around" w:vAnchor="text" w:hAnchor="margin" w:xAlign="outside" w:y="1"/>
      <w:rPr>
        <w:rStyle w:val="PageNumber"/>
        <w:rFonts w:ascii="CG Times" w:hAnsi="CG Times"/>
        <w:sz w:val="22"/>
        <w:szCs w:val="22"/>
      </w:rPr>
    </w:pPr>
    <w:r>
      <w:rPr>
        <w:rStyle w:val="PageNumber"/>
        <w:rFonts w:ascii="CG Times" w:hAnsi="CG Times"/>
        <w:sz w:val="22"/>
        <w:szCs w:val="22"/>
      </w:rPr>
      <w:t>7008</w:t>
    </w:r>
  </w:p>
  <w:p w:rsidR="007F79BA" w:rsidRDefault="007F79BA" w:rsidP="00FB47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02AD3">
      <w:r>
        <w:separator/>
      </w:r>
    </w:p>
  </w:footnote>
  <w:footnote w:type="continuationSeparator" w:id="0">
    <w:p w:rsidR="00000000" w:rsidRDefault="00702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010F8"/>
    <w:multiLevelType w:val="hybridMultilevel"/>
    <w:tmpl w:val="BD2E1E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nsid w:val="4E4E471E"/>
    <w:multiLevelType w:val="hybridMultilevel"/>
    <w:tmpl w:val="35EE68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26EFB"/>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2AD3"/>
    <w:rsid w:val="00705463"/>
    <w:rsid w:val="0074183C"/>
    <w:rsid w:val="00767527"/>
    <w:rsid w:val="007B0B5A"/>
    <w:rsid w:val="007F79B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54045"/>
    <w:rsid w:val="00B673CE"/>
    <w:rsid w:val="00BB3954"/>
    <w:rsid w:val="00BB5AB5"/>
    <w:rsid w:val="00BC6B73"/>
    <w:rsid w:val="00C22BA7"/>
    <w:rsid w:val="00C36B40"/>
    <w:rsid w:val="00C40649"/>
    <w:rsid w:val="00C7710C"/>
    <w:rsid w:val="00CD0A04"/>
    <w:rsid w:val="00D1319A"/>
    <w:rsid w:val="00D92AC6"/>
    <w:rsid w:val="00DC64E5"/>
    <w:rsid w:val="00E06AA7"/>
    <w:rsid w:val="00E624E2"/>
    <w:rsid w:val="00E645E3"/>
    <w:rsid w:val="00EA206E"/>
    <w:rsid w:val="00EC5F99"/>
    <w:rsid w:val="00EE2805"/>
    <w:rsid w:val="00F15D98"/>
    <w:rsid w:val="00F52BF2"/>
    <w:rsid w:val="00F55282"/>
    <w:rsid w:val="00F95181"/>
    <w:rsid w:val="00FA2F60"/>
    <w:rsid w:val="00FB470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0708F0-4A16-4175-A8BE-919B648D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703"/>
    <w:pPr>
      <w:autoSpaceDE w:val="0"/>
      <w:autoSpaceDN w:val="0"/>
    </w:pPr>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FB4703"/>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B470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B4703"/>
    <w:pPr>
      <w:tabs>
        <w:tab w:val="center" w:pos="4320"/>
        <w:tab w:val="right" w:pos="8640"/>
      </w:tabs>
    </w:pPr>
  </w:style>
  <w:style w:type="character" w:styleId="PageNumber">
    <w:name w:val="page number"/>
    <w:basedOn w:val="DefaultParagraphFont"/>
    <w:rsid w:val="00FB4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footer" Target="footer2.xm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8559</Words>
  <Characters>48790</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2019-03-14T17:46:00Z</dcterms:created>
  <dcterms:modified xsi:type="dcterms:W3CDTF">2019-03-14T17:46:00Z</dcterms:modified>
</cp:coreProperties>
</file>