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F5D" w:rsidRPr="00242DDE" w:rsidRDefault="00DB0F5D" w:rsidP="00DB0F5D">
      <w:pPr>
        <w:pStyle w:val="Akti"/>
      </w:pPr>
      <w:bookmarkStart w:id="0" w:name="_GoBack"/>
      <w:bookmarkEnd w:id="0"/>
      <w:r w:rsidRPr="00242DDE">
        <w:t>L I G J</w:t>
      </w:r>
    </w:p>
    <w:p w:rsidR="00DB0F5D" w:rsidRPr="00242DDE" w:rsidRDefault="00DB0F5D" w:rsidP="00DB0F5D">
      <w:pPr>
        <w:pStyle w:val="NumriData"/>
        <w:rPr>
          <w:szCs w:val="22"/>
        </w:rPr>
      </w:pPr>
      <w:r w:rsidRPr="00242DDE">
        <w:rPr>
          <w:szCs w:val="22"/>
        </w:rPr>
        <w:t>Nr.9448, datë 5.12.2005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DB0F5D" w:rsidRPr="00242DDE" w:rsidRDefault="00DB0F5D" w:rsidP="00DB0F5D">
      <w:pPr>
        <w:pStyle w:val="Titulli"/>
      </w:pPr>
      <w:r w:rsidRPr="00242DDE">
        <w:t>PËR DISA NDRYSHIME DHE SHTESA NË LIGJIN NR. 8811, DATË 17.5.2001 “PËR ORGANIZIMIN DHE FUNKSIONIMIN E KËSHILLIT TË LARTË TË DREJTËSISË”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DB0F5D" w:rsidRPr="00242DDE" w:rsidRDefault="00DB0F5D" w:rsidP="00DB0F5D">
      <w:pPr>
        <w:pStyle w:val="BazLigjPropozues"/>
      </w:pPr>
      <w:r w:rsidRPr="00242DDE">
        <w:t>Në mbështetje të neneve 81 pika 2 dhe 83 pika 1 të Kushtetutës, me propozimin e një grupi deputetësh,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DB0F5D" w:rsidRPr="00DB0F5D" w:rsidRDefault="00DB0F5D" w:rsidP="00DB0F5D">
      <w:pPr>
        <w:pStyle w:val="Institucioni"/>
        <w:rPr>
          <w:lang w:val="it-IT"/>
        </w:rPr>
      </w:pPr>
      <w:r w:rsidRPr="00DB0F5D">
        <w:rPr>
          <w:lang w:val="it-IT"/>
        </w:rPr>
        <w:t xml:space="preserve">K U V E N D I </w:t>
      </w:r>
    </w:p>
    <w:p w:rsidR="00DB0F5D" w:rsidRPr="00DB0F5D" w:rsidRDefault="00DB0F5D" w:rsidP="00DB0F5D">
      <w:pPr>
        <w:pStyle w:val="Institucioni"/>
        <w:rPr>
          <w:lang w:val="it-IT"/>
        </w:rPr>
      </w:pPr>
      <w:r w:rsidRPr="00DB0F5D">
        <w:rPr>
          <w:lang w:val="it-IT"/>
        </w:rPr>
        <w:t>I REPUBLIKËS SË SHQIPËRISË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VENDOSI"/>
        <w:rPr>
          <w:lang w:val="it-IT"/>
        </w:rPr>
      </w:pPr>
      <w:r w:rsidRPr="00DB0F5D">
        <w:rPr>
          <w:lang w:val="it-IT"/>
        </w:rPr>
        <w:t>V E N D O S I: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Në ligjin nr.8811, datë 17.5.2001 “Për organizimin dhe funksionimin e Këshillit të Lartë të Drejtësisë”, bëhen këto ndryshime dhe shtesa: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Neni 1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Në nenin 4 pika 2, pas fjalës “juristë” shtohen fjalët “jo gjyqtarë”.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Neni 2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Neni 5 ndryshohet si më poshtë: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 xml:space="preserve">“Neni 5 </w:t>
      </w:r>
    </w:p>
    <w:p w:rsidR="00DB0F5D" w:rsidRPr="00DB0F5D" w:rsidRDefault="00DB0F5D" w:rsidP="00DB0F5D">
      <w:pPr>
        <w:pStyle w:val="NeniTitull"/>
        <w:rPr>
          <w:szCs w:val="22"/>
          <w:lang w:val="it-IT"/>
        </w:rPr>
      </w:pPr>
      <w:r w:rsidRPr="00DB0F5D">
        <w:rPr>
          <w:szCs w:val="22"/>
          <w:lang w:val="it-IT"/>
        </w:rPr>
        <w:t>Papajtueshmëritë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Mandati i anëtarit të Këshillit të Lartë të Drejtësisë është i papajtueshëm me çdo veprimtari tjetër politike, publike ose private, përveç mësimdhënies.”.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Neni 3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Neni 6 ndryshohet si më poshtë: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“Neni 6</w:t>
      </w:r>
    </w:p>
    <w:p w:rsidR="00DB0F5D" w:rsidRPr="00DB0F5D" w:rsidRDefault="00DB0F5D" w:rsidP="00DB0F5D">
      <w:pPr>
        <w:pStyle w:val="NeniTitull"/>
        <w:rPr>
          <w:szCs w:val="22"/>
          <w:lang w:val="it-IT"/>
        </w:rPr>
      </w:pPr>
      <w:r w:rsidRPr="00DB0F5D">
        <w:rPr>
          <w:szCs w:val="22"/>
          <w:lang w:val="it-IT"/>
        </w:rPr>
        <w:t>Kohëzgjatja në detyrë, imuniteti dhe paga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1. Anëtarët e zgjedhur qëndrojnë në detyrë për një periudhë 5-vjeçare pa të drejtë rizgjedhjeje të menjëhershme. Anëtarët e KLD-së, të zgjedhur prej Konferencës Gjyqësore Kombëtare ose Kuvendit, e ushtrojnë detyrën e tyre me kohë të plotë. Afati i qëndrimit në detyrë i anëtarëve të zgjedhur të KLD-së fillon nga data e zgjedhjes së tyre.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 xml:space="preserve"> 2. Pas përfundimit të mandatit, anëtari i zgjedhur nga Konferenca Gjyqësore Kombëtare rikthehet pranë gjykatës ku kryente detyrën si gjyqtar, ose me pëlqimin e tij në një gjykatë tjetër të të njëjtit nivel. Përjashtim nga ky rregull bën anëtari i KLD-së, që në detyrën e mëparshme gëzonte mandatin e anëtarit të Gjykatës së Lartë. Ky anëtar përfiton të njëjtin trajtim si çdo anëtar i Gjykatës së Lartë, të cilit i përfundon afati kohor i qëndrimit në detyrë. 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3. Pas përfundimit të mandatit, anëtari jo gjyqtar i zgjedhur nga Kuvendi rikthehet në detyrën shtetërore në pozicionin e mëparshëm, ose në pamundësi i ofrohet një pozicion tjetër i të njëjtit nivel ose i një niveli më të lartë, në përputhje me dispozitat ligjore të shërbimit civil, duke përjashtuar konkurrimin.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 xml:space="preserve">4. Anëtarët e KLD-së gjatë qëndrimit në këtë detyrë gëzojnë imunitet. Gjatë ushtrimit të mandatit ata mund të ndiqen penalisht vetëm me miratimin e KLD-së. Anëtari i KLD-së mund të </w:t>
      </w:r>
      <w:r w:rsidRPr="00DB0F5D">
        <w:rPr>
          <w:szCs w:val="22"/>
          <w:lang w:val="it-IT"/>
        </w:rPr>
        <w:lastRenderedPageBreak/>
        <w:t>ndalohet ose të arrestohet vetëm nëse kapet në kryerje e sipër të një krimi ose menjëherë pas kryerjes së tij. Organi kompetent njofton menjëherë KLD-në. Në rast se KLD-ja nuk jep pëlqimin brenda 24 orëve për dërgimin në gjykatë të anëtarit të tij të arrestuar, organi kompetent është i detyruar ta lirojë. Në rastin kur ndaj një anëtari të KLD-së vendoset fillimi i një çështjeje penale për një krim, ai pezullohet nga funksioni derisa të merret vendimi i formës së prerë.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5. Paga e anëtarit të KLD-së është 10 për qind më e ulët se paga e Zëvendëskryetarit të KLD-së.”.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Neni 4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Në nenin 12 pikat 3 dhe 4 shfuqizohen.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NeniNr"/>
        <w:rPr>
          <w:szCs w:val="22"/>
          <w:lang w:val="it-IT"/>
        </w:rPr>
      </w:pPr>
      <w:r w:rsidRPr="00DB0F5D">
        <w:rPr>
          <w:szCs w:val="22"/>
          <w:lang w:val="it-IT"/>
        </w:rPr>
        <w:t>Neni 5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DB0F5D" w:rsidRDefault="00DB0F5D" w:rsidP="00DB0F5D">
      <w:pPr>
        <w:pStyle w:val="Paragrafi"/>
        <w:rPr>
          <w:szCs w:val="22"/>
          <w:lang w:val="it-IT"/>
        </w:rPr>
      </w:pPr>
      <w:r w:rsidRPr="00DB0F5D">
        <w:rPr>
          <w:szCs w:val="22"/>
          <w:lang w:val="it-IT"/>
        </w:rPr>
        <w:t>Në nenin 13 pika 1  shfuqizohet.</w:t>
      </w:r>
    </w:p>
    <w:p w:rsidR="00DB0F5D" w:rsidRPr="00DB0F5D" w:rsidRDefault="00DB0F5D" w:rsidP="00DB0F5D">
      <w:pPr>
        <w:pStyle w:val="Paragrafi"/>
        <w:rPr>
          <w:szCs w:val="22"/>
          <w:lang w:val="it-IT"/>
        </w:rPr>
      </w:pPr>
    </w:p>
    <w:p w:rsidR="00DB0F5D" w:rsidRPr="00242DDE" w:rsidRDefault="00DB0F5D" w:rsidP="00DB0F5D">
      <w:pPr>
        <w:pStyle w:val="NeniNr"/>
        <w:rPr>
          <w:szCs w:val="22"/>
        </w:rPr>
      </w:pPr>
      <w:r w:rsidRPr="00242DDE">
        <w:rPr>
          <w:szCs w:val="22"/>
        </w:rPr>
        <w:t xml:space="preserve">Neni 6 </w:t>
      </w:r>
    </w:p>
    <w:p w:rsidR="00DB0F5D" w:rsidRPr="00242DDE" w:rsidRDefault="00DB0F5D" w:rsidP="00DB0F5D">
      <w:pPr>
        <w:pStyle w:val="NeniTitull"/>
        <w:rPr>
          <w:szCs w:val="22"/>
        </w:rPr>
      </w:pPr>
      <w:r w:rsidRPr="00242DDE">
        <w:rPr>
          <w:szCs w:val="22"/>
        </w:rPr>
        <w:t>Dispozita kalimtare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DB0F5D" w:rsidRPr="00242DDE" w:rsidRDefault="00DB0F5D" w:rsidP="00DB0F5D">
      <w:pPr>
        <w:pStyle w:val="Paragrafi"/>
        <w:rPr>
          <w:szCs w:val="22"/>
        </w:rPr>
      </w:pPr>
      <w:r w:rsidRPr="00242DDE">
        <w:rPr>
          <w:szCs w:val="22"/>
        </w:rPr>
        <w:t>1. Brenda 15 ditëve kalendarike nga data e hyrjes në fuqi të këtij ligji, të gjithë anëtarët e Këshillit të Lartë të Drejtësisë, që preken prej tij, duhet të paraqesin pranë Zëvendëskryetarit të Këshillit të Lartë të Drejtësisë një deklaratë me shkrim, me anë të së cilës i konfirmojnë Këshillit zgjedhjen e ushtrimit të njërës nga detyrat.</w:t>
      </w:r>
    </w:p>
    <w:p w:rsidR="00DB0F5D" w:rsidRPr="00242DDE" w:rsidRDefault="00DB0F5D" w:rsidP="00DB0F5D">
      <w:pPr>
        <w:pStyle w:val="Paragrafi"/>
        <w:rPr>
          <w:szCs w:val="22"/>
        </w:rPr>
      </w:pPr>
      <w:r w:rsidRPr="00242DDE">
        <w:rPr>
          <w:szCs w:val="22"/>
        </w:rPr>
        <w:t>Në rast mosparaqitjeje të deklaratës, mandati i anëtarit të Këshillit të Lartë të Drejtësisë mbaron automatikisht në mëngjesin e ditës së nesërme.</w:t>
      </w:r>
    </w:p>
    <w:p w:rsidR="00DB0F5D" w:rsidRPr="00242DDE" w:rsidRDefault="00DB0F5D" w:rsidP="00DB0F5D">
      <w:pPr>
        <w:pStyle w:val="Paragrafi"/>
        <w:rPr>
          <w:szCs w:val="22"/>
        </w:rPr>
      </w:pPr>
      <w:r w:rsidRPr="00242DDE">
        <w:rPr>
          <w:szCs w:val="22"/>
        </w:rPr>
        <w:t>2. Në përfundim të afatit 15-ditor, Zëvendëskryetari i Këshillit të Lartë të Drejtësisë informon institucionet dhe publikun për zgjedhjen, si dhe merr çdo masë të nevojshme, nëse ka vend, për të koordinuar veprimet për plotësimin e numrit të vendeve të mbetura vakant, për një mandat të plotë 5-vjeçar, sipas rastit, nga Konferenca  Gjyqësore Kombëtare ose Kuvendi.</w:t>
      </w:r>
    </w:p>
    <w:p w:rsidR="00DB0F5D" w:rsidRPr="00242DDE" w:rsidRDefault="00DB0F5D" w:rsidP="00DB0F5D">
      <w:pPr>
        <w:pStyle w:val="Paragrafi"/>
        <w:rPr>
          <w:szCs w:val="22"/>
        </w:rPr>
      </w:pPr>
      <w:r w:rsidRPr="00242DDE">
        <w:rPr>
          <w:szCs w:val="22"/>
        </w:rPr>
        <w:t>3. Mandati i anëtarit të tanishëm të Këshillit të Lartë të Drejtësisë, që zgjedh njërën nga detyrat, përfundon në fund të afatit 5-vjeçar, nga data e fillimit të detyrës së tij si anëtar prej organit që e ka zgjedhur.”.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DB0F5D" w:rsidRPr="00242DDE" w:rsidRDefault="00DB0F5D" w:rsidP="00DB0F5D">
      <w:pPr>
        <w:pStyle w:val="NeniNr"/>
        <w:rPr>
          <w:szCs w:val="22"/>
        </w:rPr>
      </w:pPr>
      <w:r w:rsidRPr="00242DDE">
        <w:rPr>
          <w:szCs w:val="22"/>
        </w:rPr>
        <w:t>Neni 7</w:t>
      </w:r>
    </w:p>
    <w:p w:rsidR="00DB0F5D" w:rsidRPr="00242DDE" w:rsidRDefault="00DB0F5D" w:rsidP="00DB0F5D">
      <w:pPr>
        <w:rPr>
          <w:sz w:val="22"/>
          <w:szCs w:val="22"/>
          <w:lang w:val="en-GB"/>
        </w:rPr>
      </w:pPr>
    </w:p>
    <w:p w:rsidR="00DB0F5D" w:rsidRPr="00242DDE" w:rsidRDefault="00DB0F5D" w:rsidP="00DB0F5D">
      <w:pPr>
        <w:pStyle w:val="Paragrafi"/>
        <w:rPr>
          <w:szCs w:val="22"/>
        </w:rPr>
      </w:pPr>
      <w:r w:rsidRPr="00242DDE">
        <w:rPr>
          <w:szCs w:val="22"/>
        </w:rPr>
        <w:t>Ky ligj hyn në fuqi 15 ditë pas botimit në Fletoren Zyrtare.</w:t>
      </w:r>
    </w:p>
    <w:p w:rsidR="00DB0F5D" w:rsidRPr="00242DDE" w:rsidRDefault="00DB0F5D" w:rsidP="00DB0F5D">
      <w:pPr>
        <w:pStyle w:val="Paragrafi"/>
        <w:rPr>
          <w:szCs w:val="22"/>
        </w:rPr>
      </w:pPr>
    </w:p>
    <w:p w:rsidR="00A0784B" w:rsidRPr="00DB0F5D" w:rsidRDefault="00A0784B" w:rsidP="00116978">
      <w:pPr>
        <w:pStyle w:val="Paragrafi"/>
      </w:pPr>
    </w:p>
    <w:sectPr w:rsidR="00A0784B" w:rsidRPr="00DB0F5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24505"/>
    <w:rsid w:val="00D92AC6"/>
    <w:rsid w:val="00DB0F5D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29D3AE-53E6-4631-8DF1-8CE98D0C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F5D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B0F5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