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81" w:rsidRPr="00FA427D" w:rsidRDefault="00B17281" w:rsidP="00B17281">
      <w:pPr>
        <w:pStyle w:val="Akti"/>
      </w:pPr>
      <w:bookmarkStart w:id="0" w:name="_GoBack"/>
      <w:bookmarkEnd w:id="0"/>
      <w:r w:rsidRPr="00FA427D">
        <w:t>L I G J</w:t>
      </w:r>
    </w:p>
    <w:p w:rsidR="00B17281" w:rsidRPr="00FA427D" w:rsidRDefault="00B17281" w:rsidP="00B17281">
      <w:pPr>
        <w:pStyle w:val="NumriData"/>
      </w:pPr>
      <w:r w:rsidRPr="00FA427D">
        <w:t>Nr.9458, datë 21.12.2005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Titulli"/>
      </w:pPr>
      <w:r w:rsidRPr="00FA427D">
        <w:t>PËR DISA NDRYSHIME DHE SHTESA NË LIGJIN NR.8438, DATË 28.12.1998 "PËR TATIMIN MBI TË ARDHURAT", TË NDRYSHUAR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 xml:space="preserve">Në mbështetje të neneve 78, 83 pika 1 dhe 155 të Kushtetutës, me propozimin e Këshillit të Ministrave, 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Institucioni"/>
      </w:pPr>
      <w:r w:rsidRPr="00FA427D">
        <w:t>K U V E N D I</w:t>
      </w:r>
    </w:p>
    <w:p w:rsidR="00B17281" w:rsidRPr="00FA427D" w:rsidRDefault="00B17281" w:rsidP="00B17281">
      <w:pPr>
        <w:pStyle w:val="Institucioni"/>
      </w:pPr>
      <w:r w:rsidRPr="00FA427D">
        <w:t>I REPUBLIKËS SË SHQIPËRISË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VENDOSI"/>
      </w:pPr>
      <w:r w:rsidRPr="00FA427D">
        <w:t>V E N D O S I: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Në ligjin nr.8438, datë 28.12.1998 "Për tatimim mbi të ardhurat", të ndryshuar, bëhen këto ndryshime dhe shtesa: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1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Tabela nr.l, që i bashkëlidhet ligjit nr.8438, datë 28.12.1998 "Për tatimin mbi të ardhurat", të ndryshuar, zëvendësohet me tabelën nr.l, që i bashkëlidhet këtij ligji.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2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Neni 12 "Fitimet nga lojërat e fatit dhe kazinotë" shfuqizohet.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3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Në nenin 13 pikat 3 e 4 shfuqizohen.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4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Në fund të nenit 18 "Përjashtimet" shtohet një paragraf me këtë përmbajtje:</w:t>
      </w:r>
    </w:p>
    <w:p w:rsidR="00B17281" w:rsidRPr="00FA427D" w:rsidRDefault="00B17281" w:rsidP="00B17281">
      <w:pPr>
        <w:pStyle w:val="Paragrafi"/>
      </w:pPr>
      <w:r w:rsidRPr="00FA427D">
        <w:t>"Të gjitha subjektet e përmendura në shkronjën "a" deri në shkronjën "ë" të këtij neni, pavarësisht nga përjashtimi nga pagimi i tatimit mbi fitimin, janë të detyruara të dorëzojnë në organet tatimore deklaratën tatimore dhe bilancin kontabël vjetor, në të njëjtat afate si subjektet, që i nënshtrohen tatimit mbi fitimin.".</w:t>
      </w:r>
    </w:p>
    <w:p w:rsidR="00B17281" w:rsidRPr="00FA427D" w:rsidRDefault="00B17281" w:rsidP="00B17281">
      <w:pPr>
        <w:pStyle w:val="NeniNr"/>
      </w:pPr>
    </w:p>
    <w:p w:rsidR="00B17281" w:rsidRPr="00FA427D" w:rsidRDefault="00B17281" w:rsidP="00B17281">
      <w:pPr>
        <w:pStyle w:val="NeniNr"/>
      </w:pPr>
      <w:r w:rsidRPr="00FA427D">
        <w:t>Neni 5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Në nenin 22 pika 4 ndryshohet si më poshtë:</w:t>
      </w:r>
    </w:p>
    <w:p w:rsidR="00B17281" w:rsidRPr="00FA427D" w:rsidRDefault="00B17281" w:rsidP="00B17281">
      <w:pPr>
        <w:pStyle w:val="Paragrafi"/>
      </w:pPr>
      <w:r w:rsidRPr="00FA427D">
        <w:t>"4. Amortizimi për kostot e blerjes së aktiveve të patrupëzuara llogaritet veç për secilin aktiv, sipas metodës lineare, në masën 15 për qind.".</w:t>
      </w:r>
      <w:r w:rsidRPr="00FA427D">
        <w:tab/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6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Neni 23 "Inventari" ndryshohet si më poshtë: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 xml:space="preserve">"Neni 23 </w:t>
      </w:r>
    </w:p>
    <w:p w:rsidR="00B17281" w:rsidRPr="00FA427D" w:rsidRDefault="00B17281" w:rsidP="00B17281">
      <w:pPr>
        <w:pStyle w:val="NeniTitull"/>
      </w:pPr>
      <w:r w:rsidRPr="00FA427D">
        <w:t>Inventari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Inventari, në fund të periudhës tatimore, vlerësohet sipas njërës nga metodat e përcaktuara në ligjin nr.9228, datë 29.4.2004 "Për kontabilitetin dhe pasqyrat financiare" dhe duhet të zbatohet në mënyrë sistematike.".</w:t>
      </w:r>
    </w:p>
    <w:p w:rsidR="00B17281" w:rsidRDefault="00B17281" w:rsidP="00B17281">
      <w:pPr>
        <w:pStyle w:val="NeniNr"/>
      </w:pPr>
    </w:p>
    <w:p w:rsidR="00B17281" w:rsidRPr="00FA427D" w:rsidRDefault="00B17281" w:rsidP="00B17281">
      <w:pPr>
        <w:pStyle w:val="NeniNr"/>
      </w:pPr>
      <w:r w:rsidRPr="00FA427D">
        <w:t>Neni 7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Neni 28 "Shkalla tatimore" ndryshohet si më poshtë: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 xml:space="preserve">"Neni 28 </w:t>
      </w:r>
    </w:p>
    <w:p w:rsidR="00B17281" w:rsidRPr="00FA427D" w:rsidRDefault="00B17281" w:rsidP="00B17281">
      <w:pPr>
        <w:pStyle w:val="NeniTitull"/>
      </w:pPr>
      <w:r w:rsidRPr="00FA427D">
        <w:t>Shkalla tatimore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Shkalla tatimore e tatimit mbi fitimin është 20 për qind.".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8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Në nenin 33 pika 4 shfuqizohet.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9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Pas nenit 33 shtohet neni 33/1 me këtë përmbajtje: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 xml:space="preserve">"Neni 33/1 </w:t>
      </w:r>
    </w:p>
    <w:p w:rsidR="00B17281" w:rsidRPr="00FA427D" w:rsidRDefault="00B17281" w:rsidP="00B17281">
      <w:pPr>
        <w:pStyle w:val="NeniTitull"/>
      </w:pPr>
      <w:r w:rsidRPr="00FA427D">
        <w:t>Destinimi i fitimit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1. Shoqëritë tregtare, pas pagimit të tatimit mbi fitimin, sipas dispozitave të kreut III të këtij ligji, në përputhje edhe me dispozitat e nenit 56 të ligjit nr.7638, datë 19.11.1992 "Për shoqëritë tregtare", të ndryshuar, brenda një afati prej 6 muajsh nga data e mbylljes së vitit financiar, duhet të miratojnë, në Asamblenë e Ortakëve apo organin kompetent vendimmarrës të shoqërisë, rezultatet financiare të vitit paraardhës dhe ta destinojnë fitimin pas tatimit, duke përcaktuar shumën e rezervave ligjore, pjesën që do të përdoret për investime ose për shtesë kapitali dhe pjesën që do të shpërndahet në formë dividenti.</w:t>
      </w:r>
    </w:p>
    <w:p w:rsidR="00B17281" w:rsidRPr="00FA427D" w:rsidRDefault="00B17281" w:rsidP="00B17281">
      <w:pPr>
        <w:pStyle w:val="Paragrafi"/>
      </w:pPr>
      <w:r w:rsidRPr="00FA427D">
        <w:t>2. Shoqëritë tregtare duhet të depozitojnë pranë organeve tatimore, jo më vonë se data 31 korrik, vendimin e organit përgjegjës, sipas pikës 1 të këtij neni. Për paraqitjen me vonesë të këtij vendimi zbatohet një gjobë prej 25 000 (njëzet e pesë mijë) lekësh, për çdo muaj apo pjesë të muajit.</w:t>
      </w:r>
    </w:p>
    <w:p w:rsidR="00B17281" w:rsidRPr="00FA427D" w:rsidRDefault="00B17281" w:rsidP="00B17281">
      <w:pPr>
        <w:pStyle w:val="Paragrafi"/>
      </w:pPr>
      <w:r w:rsidRPr="00FA427D">
        <w:t>3. Personi juridik duhet të derdhë për llogari të organit tatimor tatimin mbi dividentin e pagueshëm, sipas pikës 1 të këtij neni, jo më vonë se data 30 korrik e vitit kur bëhet miratimi i rezultateve, pavarësisht nëse është bërë ose jo pagesa e dividentit.".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NeniNr"/>
      </w:pPr>
      <w:r w:rsidRPr="00FA427D">
        <w:t>Neni 10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  <w:r w:rsidRPr="00FA427D">
        <w:t>Ky ligj hyn në fuqi 15 ditë pas botimit në Fletoren Zyrtare.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Shpallja"/>
      </w:pPr>
      <w:r w:rsidRPr="00FA427D">
        <w:t>Shpallur me dekretin nr., datë 28.12.2005 të Presidentit të Republikës së Shqipërisë Alfred Moisiu</w:t>
      </w: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TitulliNr"/>
      </w:pPr>
      <w:r w:rsidRPr="00FA427D">
        <w:t>Tabela nr.1</w:t>
      </w:r>
    </w:p>
    <w:p w:rsidR="00B17281" w:rsidRPr="00FA427D" w:rsidRDefault="00B17281" w:rsidP="00B17281">
      <w:pPr>
        <w:pStyle w:val="TitulliTitull"/>
      </w:pPr>
      <w:r w:rsidRPr="00FA427D">
        <w:t>Tabela për tatimin mbi të ardhurat personale nga punësimi</w:t>
      </w:r>
    </w:p>
    <w:p w:rsidR="00B17281" w:rsidRPr="00FA427D" w:rsidRDefault="00B17281" w:rsidP="00B17281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3"/>
        <w:gridCol w:w="1614"/>
        <w:gridCol w:w="1011"/>
        <w:gridCol w:w="3906"/>
      </w:tblGrid>
      <w:tr w:rsidR="00B17281" w:rsidRPr="00FA42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>E ardhura e tatueshme</w:t>
            </w:r>
          </w:p>
          <w:p w:rsidR="00B17281" w:rsidRPr="00FA427D" w:rsidRDefault="00B17281" w:rsidP="00B17281">
            <w:pPr>
              <w:pStyle w:val="Tabele"/>
            </w:pPr>
            <w:r w:rsidRPr="00FA427D">
              <w:t>(në muaj)</w:t>
            </w:r>
          </w:p>
        </w:tc>
        <w:tc>
          <w:tcPr>
            <w:tcW w:w="2625" w:type="dxa"/>
            <w:gridSpan w:val="2"/>
          </w:tcPr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  <w:r w:rsidRPr="00FA427D">
              <w:t>TAP</w:t>
            </w:r>
          </w:p>
        </w:tc>
        <w:tc>
          <w:tcPr>
            <w:tcW w:w="3906" w:type="dxa"/>
            <w:vMerge w:val="restart"/>
          </w:tcPr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  <w:r w:rsidRPr="00FA427D">
              <w:t>Përqindje</w:t>
            </w: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  <w:r w:rsidRPr="00FA427D">
              <w:t>Mbi (lekë)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  <w:r w:rsidRPr="00FA427D">
              <w:t>Deri në (lekë)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</w:p>
          <w:p w:rsidR="00B17281" w:rsidRPr="00FA427D" w:rsidRDefault="00B17281" w:rsidP="00B17281">
            <w:pPr>
              <w:pStyle w:val="Tabele"/>
            </w:pPr>
            <w:r w:rsidRPr="00FA427D">
              <w:t>Lekë</w:t>
            </w:r>
          </w:p>
        </w:tc>
        <w:tc>
          <w:tcPr>
            <w:tcW w:w="3906" w:type="dxa"/>
            <w:vMerge/>
          </w:tcPr>
          <w:p w:rsidR="00B17281" w:rsidRPr="00FA427D" w:rsidRDefault="00B17281" w:rsidP="00B17281">
            <w:pPr>
              <w:pStyle w:val="Tabele"/>
            </w:pP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>0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  <w:r w:rsidRPr="00FA427D">
              <w:t>14 000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  <w:r w:rsidRPr="00FA427D">
              <w:t>0</w:t>
            </w:r>
          </w:p>
        </w:tc>
        <w:tc>
          <w:tcPr>
            <w:tcW w:w="3906" w:type="dxa"/>
          </w:tcPr>
          <w:p w:rsidR="00B17281" w:rsidRPr="00FA427D" w:rsidRDefault="00B17281" w:rsidP="00B17281">
            <w:pPr>
              <w:pStyle w:val="Tabele"/>
            </w:pPr>
            <w:r w:rsidRPr="00FA427D">
              <w:t>+1 % të shumës mbi 0 lekë</w:t>
            </w: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 xml:space="preserve">14 000 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  <w:r w:rsidRPr="00FA427D">
              <w:t>40 000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  <w:r w:rsidRPr="00FA427D">
              <w:t>140</w:t>
            </w:r>
          </w:p>
        </w:tc>
        <w:tc>
          <w:tcPr>
            <w:tcW w:w="3906" w:type="dxa"/>
          </w:tcPr>
          <w:p w:rsidR="00B17281" w:rsidRPr="00FA427D" w:rsidRDefault="00B17281" w:rsidP="00B17281">
            <w:pPr>
              <w:pStyle w:val="Tabele"/>
            </w:pPr>
            <w:r w:rsidRPr="00FA427D">
              <w:t>+ 5% të shumës mbi 14 000 lekë</w:t>
            </w: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 xml:space="preserve">40 000 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  <w:r w:rsidRPr="00FA427D">
              <w:t>90 000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  <w:r w:rsidRPr="00FA427D">
              <w:t>1 440</w:t>
            </w:r>
          </w:p>
        </w:tc>
        <w:tc>
          <w:tcPr>
            <w:tcW w:w="3906" w:type="dxa"/>
          </w:tcPr>
          <w:p w:rsidR="00B17281" w:rsidRPr="00FA427D" w:rsidRDefault="00B17281" w:rsidP="00B17281">
            <w:pPr>
              <w:pStyle w:val="Tabele"/>
            </w:pPr>
            <w:r w:rsidRPr="00FA427D">
              <w:t>+ 10% të shumës mbi 40 000 lekë</w:t>
            </w: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 xml:space="preserve">90 000 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  <w:r w:rsidRPr="00FA427D">
              <w:t>200 000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  <w:r w:rsidRPr="00FA427D">
              <w:t>6 440</w:t>
            </w:r>
          </w:p>
        </w:tc>
        <w:tc>
          <w:tcPr>
            <w:tcW w:w="3906" w:type="dxa"/>
          </w:tcPr>
          <w:p w:rsidR="00B17281" w:rsidRPr="00FA427D" w:rsidRDefault="00B17281" w:rsidP="00B17281">
            <w:pPr>
              <w:pStyle w:val="Tabele"/>
            </w:pPr>
            <w:r w:rsidRPr="00FA427D">
              <w:t>+ 15% të shumës mbi 90 000 lekë</w:t>
            </w:r>
          </w:p>
        </w:tc>
      </w:tr>
      <w:tr w:rsidR="00B17281" w:rsidRPr="00FA42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3" w:type="dxa"/>
          </w:tcPr>
          <w:p w:rsidR="00B17281" w:rsidRPr="00FA427D" w:rsidRDefault="00B17281" w:rsidP="00B17281">
            <w:pPr>
              <w:pStyle w:val="Tabele"/>
            </w:pPr>
            <w:r w:rsidRPr="00FA427D">
              <w:t xml:space="preserve">200 000 </w:t>
            </w:r>
          </w:p>
        </w:tc>
        <w:tc>
          <w:tcPr>
            <w:tcW w:w="1614" w:type="dxa"/>
          </w:tcPr>
          <w:p w:rsidR="00B17281" w:rsidRPr="00FA427D" w:rsidRDefault="00B17281" w:rsidP="00B17281">
            <w:pPr>
              <w:pStyle w:val="Tabele"/>
            </w:pPr>
            <w:r w:rsidRPr="00FA427D">
              <w:t>Më tepër</w:t>
            </w:r>
          </w:p>
        </w:tc>
        <w:tc>
          <w:tcPr>
            <w:tcW w:w="1011" w:type="dxa"/>
          </w:tcPr>
          <w:p w:rsidR="00B17281" w:rsidRPr="00FA427D" w:rsidRDefault="00B17281" w:rsidP="00B17281">
            <w:pPr>
              <w:pStyle w:val="Tabele"/>
            </w:pPr>
            <w:r w:rsidRPr="00FA427D">
              <w:t>22 940</w:t>
            </w:r>
          </w:p>
        </w:tc>
        <w:tc>
          <w:tcPr>
            <w:tcW w:w="3906" w:type="dxa"/>
          </w:tcPr>
          <w:p w:rsidR="00B17281" w:rsidRPr="00FA427D" w:rsidRDefault="00B17281" w:rsidP="00B17281">
            <w:pPr>
              <w:pStyle w:val="Tabele"/>
            </w:pPr>
            <w:r w:rsidRPr="00FA427D">
              <w:t>+ 20% të shumës mbi 200 000 lekë</w:t>
            </w:r>
          </w:p>
        </w:tc>
      </w:tr>
    </w:tbl>
    <w:p w:rsidR="00B17281" w:rsidRPr="00FA427D" w:rsidRDefault="00B17281" w:rsidP="00B17281">
      <w:pPr>
        <w:pStyle w:val="Paragrafi"/>
      </w:pPr>
    </w:p>
    <w:p w:rsidR="00B17281" w:rsidRPr="00FA427D" w:rsidRDefault="00B17281" w:rsidP="00B17281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17281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945DA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3B9C17-A5ED-446A-B6BA-F2FDA1B7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281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1728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2019-03-16T18:42:00Z</dcterms:created>
  <dcterms:modified xsi:type="dcterms:W3CDTF">2019-03-16T18:42:00Z</dcterms:modified>
</cp:coreProperties>
</file>