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214" w:rsidRPr="005F4C36" w:rsidRDefault="00240214" w:rsidP="00240214">
      <w:pPr>
        <w:pStyle w:val="Akti"/>
      </w:pPr>
      <w:bookmarkStart w:id="0" w:name="_GoBack"/>
      <w:bookmarkEnd w:id="0"/>
      <w:r w:rsidRPr="005F4C36">
        <w:t>L I G J</w:t>
      </w:r>
    </w:p>
    <w:p w:rsidR="00240214" w:rsidRPr="005F4C36" w:rsidRDefault="00240214" w:rsidP="00240214">
      <w:pPr>
        <w:pStyle w:val="NumriData"/>
      </w:pPr>
      <w:r w:rsidRPr="005F4C36">
        <w:t>Nr.9472, datë 9.2.2006</w:t>
      </w:r>
    </w:p>
    <w:p w:rsidR="00240214" w:rsidRPr="005F4C36" w:rsidRDefault="00240214" w:rsidP="00240214">
      <w:pPr>
        <w:pStyle w:val="Paragrafi"/>
      </w:pPr>
    </w:p>
    <w:p w:rsidR="00240214" w:rsidRPr="005F4C36" w:rsidRDefault="00240214" w:rsidP="00240214">
      <w:pPr>
        <w:pStyle w:val="Titulli"/>
      </w:pPr>
      <w:r w:rsidRPr="005F4C36">
        <w:t>PËR ADERIMIN E REPUBLIKËS SË SHQIPËRISË NË AMENDAMENTIN E KONVENTËS “PËR NDALIMIN OSE KUFIZIMIN E PËRDORIMIT TË ARMËVE TË QUAJTURA KONVENCIONALE, TË CILAT MUND TË KONSIDEROHEN SE SHKAKTOJNË DËMTIME TË MËDHA OSE PASOJA PA DALLIM”</w:t>
      </w:r>
    </w:p>
    <w:p w:rsidR="00240214" w:rsidRPr="005F4C36" w:rsidRDefault="00240214" w:rsidP="00240214">
      <w:pPr>
        <w:pStyle w:val="Paragrafi"/>
      </w:pPr>
    </w:p>
    <w:p w:rsidR="00240214" w:rsidRDefault="00240214" w:rsidP="00240214">
      <w:pPr>
        <w:pStyle w:val="BazLigjPropozues"/>
      </w:pPr>
      <w:r w:rsidRPr="005F4C36">
        <w:t xml:space="preserve">Në mbështetje të neneve 78, 83 pika 1 dhe 121 pika 1 të Kushtetutës, me propozimin e Këshillit të Ministrave, </w:t>
      </w:r>
    </w:p>
    <w:p w:rsidR="00240214" w:rsidRPr="005F4C36" w:rsidRDefault="00240214" w:rsidP="00240214">
      <w:pPr>
        <w:pStyle w:val="BazLigjPropozues"/>
      </w:pPr>
    </w:p>
    <w:p w:rsidR="00240214" w:rsidRPr="009A2FDD" w:rsidRDefault="00240214" w:rsidP="00240214">
      <w:pPr>
        <w:pStyle w:val="Institucioni"/>
        <w:rPr>
          <w:lang w:val="it-IT"/>
        </w:rPr>
      </w:pPr>
      <w:r w:rsidRPr="009A2FDD">
        <w:rPr>
          <w:lang w:val="it-IT"/>
        </w:rPr>
        <w:t xml:space="preserve">K U V E N D I </w:t>
      </w:r>
    </w:p>
    <w:p w:rsidR="00240214" w:rsidRPr="009A2FDD" w:rsidRDefault="00240214" w:rsidP="00240214">
      <w:pPr>
        <w:pStyle w:val="Institucioni"/>
        <w:rPr>
          <w:lang w:val="it-IT"/>
        </w:rPr>
      </w:pPr>
      <w:r w:rsidRPr="009A2FDD">
        <w:rPr>
          <w:lang w:val="it-IT"/>
        </w:rPr>
        <w:t>I REPUBLIKËS SË SHQIPËRISË</w:t>
      </w:r>
    </w:p>
    <w:p w:rsidR="00240214" w:rsidRPr="009A2FDD" w:rsidRDefault="00240214" w:rsidP="00240214">
      <w:pPr>
        <w:pStyle w:val="Paragrafi"/>
        <w:rPr>
          <w:lang w:val="it-IT"/>
        </w:rPr>
      </w:pPr>
    </w:p>
    <w:p w:rsidR="00240214" w:rsidRPr="009A2FDD" w:rsidRDefault="00240214" w:rsidP="00240214">
      <w:pPr>
        <w:pStyle w:val="VENDOSI"/>
        <w:rPr>
          <w:lang w:val="it-IT"/>
        </w:rPr>
      </w:pPr>
      <w:r w:rsidRPr="009A2FDD">
        <w:rPr>
          <w:lang w:val="it-IT"/>
        </w:rPr>
        <w:t>V E N D O S I:</w:t>
      </w:r>
    </w:p>
    <w:p w:rsidR="00240214" w:rsidRPr="009A2FDD" w:rsidRDefault="00240214" w:rsidP="00240214">
      <w:pPr>
        <w:pStyle w:val="Paragrafi"/>
        <w:rPr>
          <w:lang w:val="it-IT"/>
        </w:rPr>
      </w:pPr>
    </w:p>
    <w:p w:rsidR="00240214" w:rsidRPr="009A2FDD" w:rsidRDefault="00240214" w:rsidP="00240214">
      <w:pPr>
        <w:pStyle w:val="NeniNr"/>
        <w:rPr>
          <w:lang w:val="it-IT"/>
        </w:rPr>
      </w:pPr>
      <w:r w:rsidRPr="009A2FDD">
        <w:rPr>
          <w:lang w:val="it-IT"/>
        </w:rPr>
        <w:t>Neni 1</w:t>
      </w:r>
    </w:p>
    <w:p w:rsidR="00240214" w:rsidRPr="009A2FDD" w:rsidRDefault="00240214" w:rsidP="00240214">
      <w:pPr>
        <w:pStyle w:val="Paragrafi"/>
        <w:rPr>
          <w:lang w:val="it-IT"/>
        </w:rPr>
      </w:pPr>
    </w:p>
    <w:p w:rsidR="00240214" w:rsidRPr="005F4C36" w:rsidRDefault="00240214" w:rsidP="00240214">
      <w:pPr>
        <w:pStyle w:val="Paragrafi"/>
      </w:pPr>
      <w:r w:rsidRPr="005F4C36">
        <w:t>Republika e Shqipërisë aderon në amendamentin e Konventës “Për ndalimin ose kufizimin e përdorimit të armëve të quajtura konvencionale, të cilat mund të konsiderohen se shkaktojnë dëmtime të mëdha ose pasoja pa dallim”.</w:t>
      </w:r>
    </w:p>
    <w:p w:rsidR="00240214" w:rsidRPr="005F4C36" w:rsidRDefault="00240214" w:rsidP="00240214">
      <w:pPr>
        <w:pStyle w:val="Paragrafi"/>
      </w:pPr>
    </w:p>
    <w:p w:rsidR="00240214" w:rsidRPr="005F4C36" w:rsidRDefault="00240214" w:rsidP="00240214">
      <w:pPr>
        <w:pStyle w:val="NeniNr"/>
      </w:pPr>
      <w:r w:rsidRPr="005F4C36">
        <w:t>Neni 2</w:t>
      </w:r>
    </w:p>
    <w:p w:rsidR="00240214" w:rsidRPr="005F4C36" w:rsidRDefault="00240214" w:rsidP="00240214">
      <w:pPr>
        <w:pStyle w:val="Paragrafi"/>
      </w:pPr>
    </w:p>
    <w:p w:rsidR="00240214" w:rsidRDefault="00240214" w:rsidP="00240214">
      <w:pPr>
        <w:pStyle w:val="Paragrafi"/>
      </w:pPr>
      <w:r w:rsidRPr="005F4C36">
        <w:t>Ky ligj hyn në fuqi 15 ditë pas botimit në Fletoren Zyrtare.</w:t>
      </w:r>
    </w:p>
    <w:p w:rsidR="00240214" w:rsidRDefault="00240214" w:rsidP="00240214">
      <w:pPr>
        <w:pStyle w:val="Paragrafi"/>
      </w:pPr>
    </w:p>
    <w:p w:rsidR="00240214" w:rsidRPr="00890B3E" w:rsidRDefault="00240214" w:rsidP="00240214">
      <w:pPr>
        <w:pStyle w:val="Shpallja"/>
        <w:rPr>
          <w:sz w:val="23"/>
          <w:szCs w:val="23"/>
        </w:rPr>
      </w:pPr>
      <w:r>
        <w:rPr>
          <w:sz w:val="23"/>
          <w:szCs w:val="23"/>
        </w:rPr>
        <w:t xml:space="preserve">Shpallur me dekretin nr.4794, datë 3.3.2006 </w:t>
      </w:r>
      <w:r w:rsidRPr="00890B3E">
        <w:rPr>
          <w:sz w:val="23"/>
          <w:szCs w:val="23"/>
        </w:rPr>
        <w:t>të Presidentit të Republikës së Shqipërisë, Alfred Moisiu</w:t>
      </w:r>
    </w:p>
    <w:p w:rsidR="00240214" w:rsidRPr="00831C99" w:rsidRDefault="00240214" w:rsidP="00240214">
      <w:pPr>
        <w:pStyle w:val="Paragrafi"/>
      </w:pPr>
    </w:p>
    <w:p w:rsidR="00240214" w:rsidRDefault="00240214" w:rsidP="00240214">
      <w:pPr>
        <w:pStyle w:val="Paragrafi"/>
        <w:ind w:firstLine="0"/>
      </w:pPr>
    </w:p>
    <w:p w:rsidR="00240214" w:rsidRDefault="00240214" w:rsidP="00240214">
      <w:pPr>
        <w:pStyle w:val="Paragrafi"/>
        <w:tabs>
          <w:tab w:val="left" w:pos="1125"/>
        </w:tabs>
        <w:ind w:firstLine="0"/>
      </w:pPr>
    </w:p>
    <w:p w:rsidR="00240214" w:rsidRDefault="00240214" w:rsidP="00240214">
      <w:pPr>
        <w:pStyle w:val="Titulli"/>
      </w:pPr>
      <w:r>
        <w:t xml:space="preserve">Konventa </w:t>
      </w:r>
    </w:p>
    <w:p w:rsidR="00240214" w:rsidRDefault="00240214" w:rsidP="00240214">
      <w:pPr>
        <w:pStyle w:val="TitulliTitull"/>
      </w:pPr>
      <w:r>
        <w:t>mbi ndalimin OSe kufizimin e përdorimit të disa armëve të caktuara konvencionale, të cilat mund të konsiderohen se shkaktojnë dëmtime të rënda ose sjellin pasoja pa dallim</w:t>
      </w:r>
    </w:p>
    <w:p w:rsidR="00240214" w:rsidRDefault="00240214" w:rsidP="00240214">
      <w:pPr>
        <w:pStyle w:val="Paragrafi"/>
      </w:pPr>
    </w:p>
    <w:p w:rsidR="00240214" w:rsidRDefault="00240214" w:rsidP="00240214">
      <w:pPr>
        <w:pStyle w:val="Paragrafi"/>
      </w:pPr>
      <w:r>
        <w:t>Gjenevë, 10 tetor 1980</w:t>
      </w:r>
    </w:p>
    <w:p w:rsidR="00240214" w:rsidRDefault="00240214" w:rsidP="00240214">
      <w:pPr>
        <w:pStyle w:val="Paragrafi"/>
      </w:pPr>
      <w:r>
        <w:t>Amendament i nenit 1-21.12.2001</w:t>
      </w:r>
    </w:p>
    <w:p w:rsidR="00240214" w:rsidRDefault="00240214" w:rsidP="00240214">
      <w:pPr>
        <w:pStyle w:val="Paragrafi"/>
      </w:pPr>
    </w:p>
    <w:p w:rsidR="00240214" w:rsidRDefault="00240214" w:rsidP="00240214">
      <w:pPr>
        <w:pStyle w:val="NeniNr"/>
        <w:rPr>
          <w:caps/>
        </w:rPr>
      </w:pPr>
      <w:r>
        <w:t>Neni 1</w:t>
      </w:r>
    </w:p>
    <w:p w:rsidR="00240214" w:rsidRDefault="00240214" w:rsidP="00240214">
      <w:pPr>
        <w:pStyle w:val="NeniTitull"/>
      </w:pPr>
      <w:r>
        <w:t>Qëllimi kryesor i zbatimit</w:t>
      </w:r>
    </w:p>
    <w:p w:rsidR="00240214" w:rsidRDefault="00240214" w:rsidP="00240214">
      <w:pPr>
        <w:pStyle w:val="Paragrafi"/>
      </w:pPr>
    </w:p>
    <w:p w:rsidR="00240214" w:rsidRDefault="00240214" w:rsidP="00240214">
      <w:pPr>
        <w:pStyle w:val="Paragrafi"/>
      </w:pPr>
      <w:r>
        <w:t>Kjo Konventë dhe protokollet e aneksuara do të zbatohen në situata të cilat përmenden në nenin 2 të konventave të Gjenevës të 12 gushtit 1949 për mbrojtjen e viktimave të luftës, përfshirë çdo situatë të përshkruar në paragrafin 4 të nenit 1 të protokollit të parë shtesë të këtyre konventave.</w:t>
      </w:r>
    </w:p>
    <w:p w:rsidR="00240214" w:rsidRDefault="00240214" w:rsidP="00240214">
      <w:pPr>
        <w:pStyle w:val="Paragrafi"/>
      </w:pPr>
      <w:r>
        <w:t>Kjo Konventë dhe protokollet e aneksuara do të zbatohen gjithashtu, përveç situatave të parashikuara në paragrafin 1 të këtij neni, edhe në situatat që referohen në nenin 3, e përbashkët të konventave të Gjenevës të 12 gushtit 1949. Kjo Konventë dhe protokollet e aneksuara të saj nuk do të zbatohen për situatat në konfliktet dhe tensionet e brendshme, si për shembull RIOTS, aktet e izoluara dhe sporadike të dhunës, dhe akte të tjera të një natyre të ngjashme, për sa kohë që nuk janë konflikte të armatosura.</w:t>
      </w:r>
    </w:p>
    <w:p w:rsidR="00240214" w:rsidRDefault="00240214" w:rsidP="00240214">
      <w:pPr>
        <w:pStyle w:val="Paragrafi"/>
      </w:pPr>
    </w:p>
    <w:p w:rsidR="00240214" w:rsidRDefault="00240214" w:rsidP="00240214">
      <w:pPr>
        <w:pStyle w:val="Paragrafi"/>
      </w:pPr>
    </w:p>
    <w:p w:rsidR="00240214" w:rsidRDefault="00240214" w:rsidP="00240214">
      <w:pPr>
        <w:pStyle w:val="Paragrafi"/>
      </w:pPr>
      <w:r>
        <w:t xml:space="preserve">Në rastin e konflikteve të armatosura që nuk kanë karakter ndërkombëtar, që ndodhin në territorin e njërit prej Shteteve Palë Kontraktuese, secila palë në konflikt do të detyrohet të zbatojë </w:t>
      </w:r>
      <w:r>
        <w:lastRenderedPageBreak/>
        <w:t>ndalimet dhe kufizimet e kësaj Konvente dhe protokollet e aneksuara të saj.</w:t>
      </w:r>
    </w:p>
    <w:p w:rsidR="00240214" w:rsidRDefault="00240214" w:rsidP="00240214">
      <w:pPr>
        <w:pStyle w:val="Paragrafi"/>
      </w:pPr>
      <w:r>
        <w:t>Asgjë në këtë Konventë ose në protokollet e aneksuara të saj nuk do të kuptohet si justifikim për qëllimin e prekjes së sovranitetit të një shteti ose përgjegjësisë së qeverisë, përmes gjithë mjeteve të ligjshme, të mirëmbajnë ose të rivendosin rregullin dhe ligjin në shtetin e tyre ose atë mbrojnë unitetin kombëtar dhe integritetin territorial të shtetit.</w:t>
      </w:r>
    </w:p>
    <w:p w:rsidR="00240214" w:rsidRDefault="00240214" w:rsidP="00240214">
      <w:pPr>
        <w:pStyle w:val="Paragrafi"/>
      </w:pPr>
      <w:r>
        <w:t>Asgjë në këtë Konventë ose në protokollet e aneksuara të saj nuk do të kuptohet si justifikim për qëllim të ndërhyrjes direkte ose jo, për çfarëdo arsye, në një konflikt të armatosur ose në punët e brendshme ose të jashtme të Shteteve Palë Kontraktuese në territorin e së cilës ndodh konflikti.</w:t>
      </w:r>
    </w:p>
    <w:p w:rsidR="00240214" w:rsidRDefault="00240214" w:rsidP="00240214">
      <w:pPr>
        <w:pStyle w:val="Paragrafi"/>
      </w:pPr>
      <w:r>
        <w:t>Zbatimi i dispozitave të kësaj Konvente dhe protokolleve të aneksuara të saj për palët në një konflikt, të cilat nuk janë Shtete Palë Kontraktuese që kanë pranuar këtë Konventë ose protokollet e aneksuara të saj, nuk do të ndryshojnë statusin e tyre ligjor ose statusin ligjor të vendeve në konflikt në mënyrë të hapur ose jo.</w:t>
      </w:r>
    </w:p>
    <w:p w:rsidR="00240214" w:rsidRPr="00624F8E" w:rsidRDefault="00240214" w:rsidP="00240214">
      <w:pPr>
        <w:pStyle w:val="Paragrafi"/>
      </w:pPr>
      <w:r>
        <w:t>Dispozitat e paragrafëve 2 deri 6 të këtij neni nuk do të cenojnë protokollet shtesë të adoptuara pas 1 janarit 2002, të cilat mund të zbatohen, të përjashtojë ose modifikojë qëllimin e zbatimit të tyre për sa i përket këtij neni.</w:t>
      </w:r>
    </w:p>
    <w:p w:rsidR="00240214" w:rsidRPr="00624F8E" w:rsidRDefault="00240214" w:rsidP="00240214">
      <w:pPr>
        <w:pStyle w:val="Paragraf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40214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4BB9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FAEB273-3481-478F-8C7E-F8D40B72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240214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2019-03-16T13:30:00Z</dcterms:created>
  <dcterms:modified xsi:type="dcterms:W3CDTF">2019-03-16T13:30:00Z</dcterms:modified>
</cp:coreProperties>
</file>