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858" w:rsidRPr="00051CB6" w:rsidRDefault="00EE5858" w:rsidP="00EE5858">
      <w:pPr>
        <w:pStyle w:val="Akti"/>
        <w:keepNext w:val="0"/>
      </w:pPr>
      <w:bookmarkStart w:id="0" w:name="_GoBack"/>
      <w:bookmarkEnd w:id="0"/>
      <w:r w:rsidRPr="00051CB6">
        <w:t>L I G J</w:t>
      </w:r>
    </w:p>
    <w:p w:rsidR="00EE5858" w:rsidRPr="00051CB6" w:rsidRDefault="00EE5858" w:rsidP="00EE5858">
      <w:pPr>
        <w:pStyle w:val="NumriData"/>
        <w:keepNext w:val="0"/>
      </w:pPr>
      <w:r w:rsidRPr="00051CB6">
        <w:t>Nr.9478, datë 16.2.2006</w:t>
      </w:r>
    </w:p>
    <w:p w:rsidR="00EE5858" w:rsidRPr="00051CB6" w:rsidRDefault="00EE5858" w:rsidP="00EE5858">
      <w:pPr>
        <w:pStyle w:val="Paragrafi"/>
      </w:pPr>
    </w:p>
    <w:p w:rsidR="00EE5858" w:rsidRDefault="00EE5858" w:rsidP="00EE5858">
      <w:pPr>
        <w:pStyle w:val="Titulli"/>
        <w:keepNext w:val="0"/>
      </w:pPr>
      <w:r w:rsidRPr="00051CB6">
        <w:t xml:space="preserve">PËR ADERIMIN E REPUBLIKËS SË SHQIPËRISË NË VENDIMET II/14 DHE III/7, AMENDAMENTE TË KONVENTËS SË ESPOO-S “PËR VLERËSIMIN E NDIKIMIT </w:t>
      </w:r>
    </w:p>
    <w:p w:rsidR="00EE5858" w:rsidRPr="00051CB6" w:rsidRDefault="00EE5858" w:rsidP="00EE5858">
      <w:pPr>
        <w:pStyle w:val="Titulli"/>
        <w:keepNext w:val="0"/>
      </w:pPr>
      <w:r w:rsidRPr="00051CB6">
        <w:t>NË MJEDIS, NË KONTEKST NDËRKUFITAR”</w:t>
      </w:r>
    </w:p>
    <w:p w:rsidR="00EE5858" w:rsidRPr="00051CB6" w:rsidRDefault="00EE5858" w:rsidP="00EE5858">
      <w:pPr>
        <w:pStyle w:val="Paragrafi"/>
      </w:pPr>
    </w:p>
    <w:p w:rsidR="00EE5858" w:rsidRPr="00051CB6" w:rsidRDefault="00EE5858" w:rsidP="00EE5858">
      <w:pPr>
        <w:pStyle w:val="BazLigjPropozues"/>
        <w:keepNext w:val="0"/>
      </w:pPr>
      <w:r w:rsidRPr="00051CB6">
        <w:t xml:space="preserve">Në mbështetje të neneve 78, 83 pika 1 dhe 121 pika 1 të Kushtetutës, me propozimin e Këshillit të Ministrave, </w:t>
      </w:r>
    </w:p>
    <w:p w:rsidR="00EE5858" w:rsidRPr="00051CB6" w:rsidRDefault="00EE5858" w:rsidP="00EE5858">
      <w:pPr>
        <w:pStyle w:val="Paragrafi"/>
      </w:pPr>
    </w:p>
    <w:p w:rsidR="00EE5858" w:rsidRPr="00051CB6" w:rsidRDefault="00EE5858" w:rsidP="00EE5858">
      <w:pPr>
        <w:pStyle w:val="Institucioni"/>
        <w:keepNext w:val="0"/>
      </w:pPr>
      <w:r w:rsidRPr="00051CB6">
        <w:t xml:space="preserve">K U V E N D I </w:t>
      </w:r>
    </w:p>
    <w:p w:rsidR="00EE5858" w:rsidRDefault="00EE5858" w:rsidP="00EE5858">
      <w:pPr>
        <w:pStyle w:val="Institucioni"/>
        <w:keepNext w:val="0"/>
      </w:pPr>
      <w:r w:rsidRPr="00051CB6">
        <w:t>I REPUBLIKËS SË SHQIPËRISË</w:t>
      </w:r>
    </w:p>
    <w:p w:rsidR="00EE5858" w:rsidRPr="00051CB6" w:rsidRDefault="00EE5858" w:rsidP="00EE5858">
      <w:pPr>
        <w:pStyle w:val="Paragrafi"/>
      </w:pPr>
    </w:p>
    <w:p w:rsidR="00EE5858" w:rsidRDefault="00EE5858" w:rsidP="00EE5858">
      <w:pPr>
        <w:pStyle w:val="VENDOSI"/>
        <w:keepNext w:val="0"/>
      </w:pPr>
      <w:r w:rsidRPr="00051CB6">
        <w:t>V E N D O S I:</w:t>
      </w:r>
    </w:p>
    <w:p w:rsidR="00EE5858" w:rsidRPr="00051CB6" w:rsidRDefault="00EE5858" w:rsidP="00EE5858">
      <w:pPr>
        <w:pStyle w:val="Paragrafi"/>
      </w:pPr>
    </w:p>
    <w:p w:rsidR="00EE5858" w:rsidRDefault="00EE5858" w:rsidP="00EE5858">
      <w:pPr>
        <w:pStyle w:val="NeniNr"/>
        <w:keepNext w:val="0"/>
      </w:pPr>
      <w:r w:rsidRPr="00051CB6">
        <w:t>Neni 1</w:t>
      </w:r>
    </w:p>
    <w:p w:rsidR="00EE5858" w:rsidRPr="00051CB6" w:rsidRDefault="00EE5858" w:rsidP="00EE5858">
      <w:pPr>
        <w:pStyle w:val="Paragrafi"/>
      </w:pPr>
    </w:p>
    <w:p w:rsidR="00EE5858" w:rsidRPr="00051CB6" w:rsidRDefault="00EE5858" w:rsidP="00EE5858">
      <w:pPr>
        <w:pStyle w:val="Paragrafi"/>
      </w:pPr>
      <w:r w:rsidRPr="00051CB6">
        <w:t>Republika e Shqipërisë aderon në vendimin II/14, amendament i Konventës së ESPOO-s “Për vlerësimin e ndikimit në mjedis, në kontekst ndërkufitar”.</w:t>
      </w:r>
    </w:p>
    <w:p w:rsidR="00EE5858" w:rsidRPr="00051CB6" w:rsidRDefault="00EE5858" w:rsidP="00EE5858">
      <w:pPr>
        <w:pStyle w:val="Paragrafi"/>
      </w:pPr>
    </w:p>
    <w:p w:rsidR="00EE5858" w:rsidRPr="00051CB6" w:rsidRDefault="00EE5858" w:rsidP="00EE5858">
      <w:pPr>
        <w:pStyle w:val="NeniNr"/>
        <w:keepNext w:val="0"/>
      </w:pPr>
      <w:r w:rsidRPr="00051CB6">
        <w:t>Neni 2</w:t>
      </w:r>
    </w:p>
    <w:p w:rsidR="00EE5858" w:rsidRPr="00051CB6" w:rsidRDefault="00EE5858" w:rsidP="00EE5858">
      <w:pPr>
        <w:pStyle w:val="Paragrafi"/>
      </w:pPr>
    </w:p>
    <w:p w:rsidR="00EE5858" w:rsidRPr="00051CB6" w:rsidRDefault="00EE5858" w:rsidP="00EE5858">
      <w:pPr>
        <w:pStyle w:val="Paragrafi"/>
      </w:pPr>
      <w:r w:rsidRPr="00051CB6">
        <w:t>Republika e Shqipërisë aderon në vendimin III/7, amendament i Konventës së ESPOO-s “Për vlerësimin e ndikimit në mjedis, në kontekst ndërkufitar”.</w:t>
      </w:r>
    </w:p>
    <w:p w:rsidR="00EE5858" w:rsidRPr="00051CB6" w:rsidRDefault="00EE5858" w:rsidP="00EE5858">
      <w:pPr>
        <w:pStyle w:val="Paragrafi"/>
      </w:pPr>
    </w:p>
    <w:p w:rsidR="00EE5858" w:rsidRPr="00051CB6" w:rsidRDefault="00EE5858" w:rsidP="00EE5858">
      <w:pPr>
        <w:pStyle w:val="NeniNr"/>
        <w:keepNext w:val="0"/>
      </w:pPr>
      <w:r w:rsidRPr="00051CB6">
        <w:t>Neni 3</w:t>
      </w:r>
    </w:p>
    <w:p w:rsidR="00EE5858" w:rsidRPr="00051CB6" w:rsidRDefault="00EE5858" w:rsidP="00EE5858">
      <w:pPr>
        <w:pStyle w:val="Paragrafi"/>
      </w:pPr>
    </w:p>
    <w:p w:rsidR="00EE5858" w:rsidRPr="00051CB6" w:rsidRDefault="00EE5858" w:rsidP="00EE5858">
      <w:pPr>
        <w:pStyle w:val="Paragrafi"/>
      </w:pPr>
      <w:r w:rsidRPr="00051CB6">
        <w:t>Ky ligj hyn në fuqi 15 ditë pas botimit në Fletoren Zyrtare.</w:t>
      </w:r>
    </w:p>
    <w:p w:rsidR="00EE5858" w:rsidRDefault="00EE5858" w:rsidP="00EE5858">
      <w:pPr>
        <w:pStyle w:val="Paragrafi"/>
      </w:pPr>
    </w:p>
    <w:p w:rsidR="00EE5858" w:rsidRPr="00890B3E" w:rsidRDefault="00EE5858" w:rsidP="00EE5858">
      <w:pPr>
        <w:pStyle w:val="Shpallja"/>
        <w:rPr>
          <w:sz w:val="23"/>
          <w:szCs w:val="23"/>
        </w:rPr>
      </w:pPr>
      <w:r>
        <w:rPr>
          <w:sz w:val="23"/>
          <w:szCs w:val="23"/>
        </w:rPr>
        <w:t xml:space="preserve">Shpallur me dekretin nr.4800, datë 10.3.2006 </w:t>
      </w:r>
      <w:r w:rsidRPr="00890B3E">
        <w:rPr>
          <w:sz w:val="23"/>
          <w:szCs w:val="23"/>
        </w:rPr>
        <w:t>të Presidentit të Republikës së Shqipërisë, Alfred Moisiu</w:t>
      </w:r>
    </w:p>
    <w:p w:rsidR="00EE5858" w:rsidRDefault="00EE5858" w:rsidP="00EE5858">
      <w:pPr>
        <w:pStyle w:val="Paragrafi"/>
      </w:pPr>
    </w:p>
    <w:p w:rsidR="00EE5858" w:rsidRDefault="00EE5858" w:rsidP="00EE5858">
      <w:pPr>
        <w:pStyle w:val="Paragrafi"/>
        <w:rPr>
          <w:sz w:val="24"/>
          <w:szCs w:val="24"/>
        </w:rPr>
      </w:pPr>
    </w:p>
    <w:p w:rsidR="00EE5858" w:rsidRPr="00462D64" w:rsidRDefault="00EE5858" w:rsidP="00EE5858">
      <w:pPr>
        <w:pStyle w:val="TitulliTitull"/>
      </w:pPr>
      <w:r w:rsidRPr="00462D64">
        <w:t>Shtojca VII</w:t>
      </w:r>
    </w:p>
    <w:p w:rsidR="00EE5858" w:rsidRPr="00462D64" w:rsidRDefault="00EE5858" w:rsidP="00EE5858">
      <w:pPr>
        <w:pStyle w:val="TitulliTitull"/>
      </w:pPr>
      <w:r w:rsidRPr="00462D64">
        <w:t>Vendimi III/7</w:t>
      </w:r>
    </w:p>
    <w:p w:rsidR="00EE5858" w:rsidRPr="00462D64" w:rsidRDefault="00EE5858" w:rsidP="00EE5858">
      <w:pPr>
        <w:pStyle w:val="TitulliTitull"/>
      </w:pPr>
      <w:r w:rsidRPr="00462D64">
        <w:t>Amendamenti i dytë i Konventës së ESPOO-s</w:t>
      </w:r>
    </w:p>
    <w:p w:rsidR="00EE5858" w:rsidRPr="00462D64" w:rsidRDefault="00EE5858" w:rsidP="00EE5858">
      <w:pPr>
        <w:pStyle w:val="Paragrafi"/>
        <w:rPr>
          <w:szCs w:val="22"/>
        </w:rPr>
      </w:pP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Mbledhja,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i/>
          <w:szCs w:val="22"/>
        </w:rPr>
        <w:t>duke mbajtur parasysh</w:t>
      </w:r>
      <w:r w:rsidRPr="00462D64">
        <w:rPr>
          <w:szCs w:val="22"/>
        </w:rPr>
        <w:t xml:space="preserve"> vendimin e saj 11/10 mbi rishikimin e Konventës dhe paragrafin 19 të Deklaratës Ministeriale të Sofies;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i/>
          <w:szCs w:val="22"/>
        </w:rPr>
        <w:t>duke dëshiruar</w:t>
      </w:r>
      <w:r w:rsidRPr="00462D64">
        <w:rPr>
          <w:szCs w:val="22"/>
        </w:rPr>
        <w:t xml:space="preserve"> të ndryshojë Konventën me synim forcimin e mëtejshëm të zbatimit të saj dhe përmirësimin e raportit me marrëveshjet e tjera shumëpalëshe mjedisore;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i/>
          <w:szCs w:val="22"/>
        </w:rPr>
        <w:t>duke përgëzuar</w:t>
      </w:r>
      <w:r w:rsidRPr="00462D64">
        <w:rPr>
          <w:szCs w:val="22"/>
        </w:rPr>
        <w:t xml:space="preserve"> punën e bërë nga grupi i punës i krijuar në mbledhjen e dytë të palëve, nga grupi i vogël mbi ndryshimet dhe nga vetë grupi i punës mbi vlerësimin e ndikimit në mjedis;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i/>
          <w:szCs w:val="22"/>
        </w:rPr>
        <w:t>duke vënë në dukje</w:t>
      </w:r>
      <w:r w:rsidRPr="00462D64">
        <w:rPr>
          <w:szCs w:val="22"/>
        </w:rPr>
        <w:t xml:space="preserve"> Konventën për të drejtën për informacion, pjesëmarrjen e publikut në vendimmarrje dhe të drejtën për t’iu drejtuar gjykatës për çështje që lidhen me mjedisin, bërë në Aarhus, Danimarkë, më 25 qershor 1998, dhe duke mbajtur parasysh Protokollin e Vlerësimit Strategjik Mjedisor, bërë n</w:t>
      </w:r>
      <w:r>
        <w:rPr>
          <w:szCs w:val="22"/>
        </w:rPr>
        <w:t>ë Kiev, Ukrainë, më 21 maj 2003;</w:t>
      </w:r>
    </w:p>
    <w:p w:rsidR="00EE5858" w:rsidRDefault="00EE5858" w:rsidP="00EE5858">
      <w:pPr>
        <w:pStyle w:val="Paragrafi"/>
        <w:rPr>
          <w:szCs w:val="22"/>
        </w:rPr>
      </w:pPr>
      <w:r w:rsidRPr="000F4870">
        <w:rPr>
          <w:i/>
          <w:szCs w:val="22"/>
        </w:rPr>
        <w:t>gjithashtu</w:t>
      </w:r>
      <w:r w:rsidRPr="00462D64">
        <w:rPr>
          <w:szCs w:val="22"/>
        </w:rPr>
        <w:t xml:space="preserve"> duke vënë në dukje instrumentet ligjore përkatës</w:t>
      </w:r>
      <w:r>
        <w:rPr>
          <w:szCs w:val="22"/>
        </w:rPr>
        <w:t>e</w:t>
      </w:r>
      <w:r w:rsidRPr="00462D64">
        <w:rPr>
          <w:szCs w:val="22"/>
        </w:rPr>
        <w:t xml:space="preserve"> të Komunitetit Europian, si direktiva 85/337/EEC e 27 qershorit 1985 mbi vlerësimin e efekteve të disa projekteve publike dhe pri</w:t>
      </w:r>
      <w:r>
        <w:rPr>
          <w:szCs w:val="22"/>
        </w:rPr>
        <w:t>vate mbi mjedisin, të ndryshuar</w:t>
      </w:r>
      <w:r w:rsidRPr="00462D64">
        <w:rPr>
          <w:szCs w:val="22"/>
        </w:rPr>
        <w:t xml:space="preserve"> nga direktiva 97/11/EC dhe 2003/35/EC;</w:t>
      </w:r>
    </w:p>
    <w:p w:rsidR="00EE5858" w:rsidRPr="00462D64" w:rsidRDefault="00EE5858" w:rsidP="00EE5858">
      <w:pPr>
        <w:pStyle w:val="Paragrafi"/>
        <w:rPr>
          <w:szCs w:val="22"/>
        </w:rPr>
      </w:pPr>
      <w:r>
        <w:rPr>
          <w:i/>
          <w:szCs w:val="22"/>
        </w:rPr>
        <w:t xml:space="preserve">e </w:t>
      </w:r>
      <w:r w:rsidRPr="00462D64">
        <w:rPr>
          <w:i/>
          <w:szCs w:val="22"/>
        </w:rPr>
        <w:t xml:space="preserve"> ndërgjegjsh</w:t>
      </w:r>
      <w:r>
        <w:rPr>
          <w:i/>
          <w:szCs w:val="22"/>
        </w:rPr>
        <w:t>me</w:t>
      </w:r>
      <w:r w:rsidRPr="00462D64">
        <w:rPr>
          <w:szCs w:val="22"/>
        </w:rPr>
        <w:t xml:space="preserve"> që një zgjerim i shtojcës I do të forcojë në rajon rëndësinë e vlerësimeve të ndikimit në mjedis;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i/>
          <w:szCs w:val="22"/>
        </w:rPr>
        <w:t>duke njohur</w:t>
      </w:r>
      <w:r w:rsidRPr="00462D64">
        <w:rPr>
          <w:szCs w:val="22"/>
        </w:rPr>
        <w:t xml:space="preserve"> përfitimet e bashkëpunimit ndërkombëtar sa më shpejt të jetë e mundur në vlerësimin e ndikimit në mjedis;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i/>
          <w:szCs w:val="22"/>
        </w:rPr>
        <w:lastRenderedPageBreak/>
        <w:t xml:space="preserve">duke inkurajuar </w:t>
      </w:r>
      <w:r w:rsidRPr="00462D64">
        <w:rPr>
          <w:szCs w:val="22"/>
        </w:rPr>
        <w:t>punën e Komitetit Zbatues si një mjet i dobishëm për zbatimin e mëtejshëm dhe aplik</w:t>
      </w:r>
      <w:r>
        <w:rPr>
          <w:szCs w:val="22"/>
        </w:rPr>
        <w:t>imin e dispozitave të Konventës: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1. Konfirmon që vlefshmëria e vendimeve të marra para hyrjes në fuqi të amendamentit të dytë të Konventës, duke përfshirë adoptimin e protokolleve, krijimin e organizmave mbështetës, rishikimin e përshtatshmërisë dhe veprimeve të marra nga Komiteti Zbatues, nuk ndikohen nga adoptimi dhe hyrja në fuqi e këtij amendamenti.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2. Gjithashtu konfirmon që secila palë vazhdon të jetë e përshtatshme të marrë pjesë në të gjitha aktivitetet në bazë të Konventës, duke përfshirë përgatitjen e protokolleve, krijimin dhe pjesëmarrjen në organizmat mbështetës, dhe shqyrtimin e respektimit, pavarësisht nëse amendamenti i dytë i Konventës ka hyrë në fuqi apo jo për atë palë.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3. Adopton amendamentet e mëposhtme të Konventës: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a) Në nenin 2, pas paragrafit 10, futet një paragraf i ri me këtë formulim: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11. Nëse pala iniciatore synon të kryejë një procedurë me qëllimin e caktimit të përmbajtjes së dokumentacionit të vlerësimit të ndikimit në mjedis, palës së interesuar, në masën e duhur, duhet t’i krijohet mundësia për të marrë pjesë në këtë procedurë.</w:t>
      </w:r>
    </w:p>
    <w:p w:rsidR="00EE5858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 xml:space="preserve">b) Në nenin 8, pas Konventës futet 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dhe në bazë të çdo protokolli të saj në të cilin ato janë palë.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c) Në nenin</w:t>
      </w:r>
      <w:r>
        <w:rPr>
          <w:szCs w:val="22"/>
        </w:rPr>
        <w:t xml:space="preserve"> 11</w:t>
      </w:r>
      <w:r w:rsidRPr="00462D64">
        <w:rPr>
          <w:szCs w:val="22"/>
        </w:rPr>
        <w:t>, zëvendësohet paragrafi 2(c) nga një nënparagraf i ri me këtë formulim: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c) Kërkojnë</w:t>
      </w:r>
      <w:r>
        <w:rPr>
          <w:szCs w:val="22"/>
        </w:rPr>
        <w:t>,</w:t>
      </w:r>
      <w:r w:rsidRPr="00462D64">
        <w:rPr>
          <w:szCs w:val="22"/>
        </w:rPr>
        <w:t xml:space="preserve"> sipas rastit, shërbimet dhe bashkëpunimin e organeve kompetente që kanë ekspertizën që lidhet me arritjen e qëllimeve të kësaj Konvente;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d) Në fund të nenit 11</w:t>
      </w:r>
      <w:r>
        <w:rPr>
          <w:szCs w:val="22"/>
        </w:rPr>
        <w:t>,</w:t>
      </w:r>
      <w:r w:rsidRPr="00462D64">
        <w:rPr>
          <w:szCs w:val="22"/>
        </w:rPr>
        <w:t xml:space="preserve"> futen </w:t>
      </w:r>
      <w:r>
        <w:rPr>
          <w:szCs w:val="22"/>
        </w:rPr>
        <w:t>dy nënparagrafë me këtë formulim</w:t>
      </w:r>
      <w:r w:rsidRPr="00462D64">
        <w:rPr>
          <w:szCs w:val="22"/>
        </w:rPr>
        <w:t>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g)</w:t>
      </w:r>
      <w:r>
        <w:rPr>
          <w:szCs w:val="22"/>
        </w:rPr>
        <w:t xml:space="preserve"> </w:t>
      </w:r>
      <w:r w:rsidRPr="00462D64">
        <w:rPr>
          <w:szCs w:val="22"/>
        </w:rPr>
        <w:t>Përgatisin</w:t>
      </w:r>
      <w:r>
        <w:rPr>
          <w:szCs w:val="22"/>
        </w:rPr>
        <w:t>,</w:t>
      </w:r>
      <w:r w:rsidRPr="00462D64">
        <w:rPr>
          <w:szCs w:val="22"/>
        </w:rPr>
        <w:t xml:space="preserve"> sipas rastit</w:t>
      </w:r>
      <w:r>
        <w:rPr>
          <w:szCs w:val="22"/>
        </w:rPr>
        <w:t>,</w:t>
      </w:r>
      <w:r w:rsidRPr="00462D64">
        <w:rPr>
          <w:szCs w:val="22"/>
        </w:rPr>
        <w:t xml:space="preserve"> protokollet e kësaj Konvente;</w:t>
      </w:r>
    </w:p>
    <w:p w:rsidR="00EE5858" w:rsidRPr="00462D64" w:rsidRDefault="00EE5858" w:rsidP="00EE5858">
      <w:pPr>
        <w:pStyle w:val="Paragrafi"/>
        <w:rPr>
          <w:szCs w:val="22"/>
        </w:rPr>
      </w:pPr>
      <w:r>
        <w:rPr>
          <w:szCs w:val="22"/>
        </w:rPr>
        <w:t>h) K</w:t>
      </w:r>
      <w:r w:rsidRPr="00462D64">
        <w:rPr>
          <w:szCs w:val="22"/>
        </w:rPr>
        <w:t>rijojnë organizma të tillë mbështetës që konsiderohen të nevojshëm për zbatimin e kësaj Konvente.</w:t>
      </w:r>
    </w:p>
    <w:p w:rsidR="00EE5858" w:rsidRPr="00462D64" w:rsidRDefault="00EE5858" w:rsidP="00EE5858">
      <w:pPr>
        <w:pStyle w:val="Paragrafi"/>
        <w:rPr>
          <w:szCs w:val="22"/>
        </w:rPr>
      </w:pPr>
      <w:r>
        <w:rPr>
          <w:szCs w:val="22"/>
        </w:rPr>
        <w:t>e) Në nenin 14 paragrafi 4</w:t>
      </w:r>
      <w:r w:rsidRPr="00462D64">
        <w:rPr>
          <w:szCs w:val="22"/>
        </w:rPr>
        <w:t xml:space="preserve"> zëvendësohet fjalia e dytë me një fjali të re me këtë formulim: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Ato hyjnë në fuqi për palët që i kanë ratifikuar, miratuar ose pranuar ato në ditën e nëntëdhjetë pas marrjes nga depozituesi të njoftimit për ratifikimin, pranimin ose miratimin e tyre nga të paktën tre të katërtat e numrit të palëve në kohën e adoptimit të tyre.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f) Pas nenit 14, futet një nen i ri me këtë formulim:</w:t>
      </w:r>
    </w:p>
    <w:p w:rsidR="00EE5858" w:rsidRPr="00462D64" w:rsidRDefault="00EE5858" w:rsidP="00EE5858">
      <w:pPr>
        <w:pStyle w:val="Paragrafi"/>
        <w:rPr>
          <w:szCs w:val="22"/>
        </w:rPr>
      </w:pPr>
    </w:p>
    <w:p w:rsidR="00EE5858" w:rsidRPr="00462D64" w:rsidRDefault="00EE5858" w:rsidP="00EE5858">
      <w:pPr>
        <w:pStyle w:val="NeniNr"/>
        <w:keepNext w:val="0"/>
        <w:rPr>
          <w:szCs w:val="22"/>
        </w:rPr>
      </w:pPr>
      <w:r w:rsidRPr="00462D64">
        <w:rPr>
          <w:szCs w:val="22"/>
        </w:rPr>
        <w:t>Neni 14 bis</w:t>
      </w:r>
    </w:p>
    <w:p w:rsidR="00EE5858" w:rsidRPr="00462D64" w:rsidRDefault="00EE5858" w:rsidP="00EE5858">
      <w:pPr>
        <w:pStyle w:val="NeniTitull"/>
        <w:keepNext w:val="0"/>
        <w:rPr>
          <w:szCs w:val="22"/>
        </w:rPr>
      </w:pPr>
      <w:r w:rsidRPr="00462D64">
        <w:rPr>
          <w:szCs w:val="22"/>
        </w:rPr>
        <w:t>Shqyrtimi i respektimit</w:t>
      </w:r>
    </w:p>
    <w:p w:rsidR="00EE5858" w:rsidRPr="00462D64" w:rsidRDefault="00EE5858" w:rsidP="00EE5858">
      <w:pPr>
        <w:pStyle w:val="Paragrafi"/>
        <w:rPr>
          <w:szCs w:val="22"/>
        </w:rPr>
      </w:pP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1. Palët rishikojnë respektimin e dispozitave të kësaj Konvente në bazë të procedurës së respektimit, si një procedurë joakuzatore dhe e orientuar drejt ndihmesës</w:t>
      </w:r>
      <w:r>
        <w:rPr>
          <w:szCs w:val="22"/>
        </w:rPr>
        <w:t>, e miratuar nga m</w:t>
      </w:r>
      <w:r w:rsidRPr="00462D64">
        <w:rPr>
          <w:szCs w:val="22"/>
        </w:rPr>
        <w:t>bledhja e</w:t>
      </w:r>
      <w:r>
        <w:rPr>
          <w:szCs w:val="22"/>
        </w:rPr>
        <w:t xml:space="preserve"> p</w:t>
      </w:r>
      <w:r w:rsidRPr="00462D64">
        <w:rPr>
          <w:szCs w:val="22"/>
        </w:rPr>
        <w:t>alëve. Shqyrtimi bazohet mbi, por nuk kufizohet nga raportimi i rregull</w:t>
      </w:r>
      <w:r>
        <w:rPr>
          <w:szCs w:val="22"/>
        </w:rPr>
        <w:t>t nga ana e palëve. Mbledhja e p</w:t>
      </w:r>
      <w:r w:rsidRPr="00462D64">
        <w:rPr>
          <w:szCs w:val="22"/>
        </w:rPr>
        <w:t>alëve vendos mbi shpeshtësinë e raportimit të rregullt të kërkuar nga palët dhe informacionin që duhet të përfshihet në ato raporte të rregullta.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2. Procedura e respektimit duhet të jetë e përshtatshme për zbatimin e çdo protokolli të adoptuar në bazë të kësaj Konvente.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g) Zëvendësohet shtojca I e Konventës nga shtojca e këtij vendimi.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h) Në shtojcën VI, pas paragrafit 2, futet një paragraf i ri me këtë formulim:</w:t>
      </w:r>
    </w:p>
    <w:p w:rsidR="00EE5858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 xml:space="preserve">3. Paragrafët 1 dhe 2 mund të zbatohen, </w:t>
      </w:r>
      <w:r w:rsidRPr="00462D64">
        <w:rPr>
          <w:i/>
          <w:szCs w:val="22"/>
        </w:rPr>
        <w:t>mutatis mutandis</w:t>
      </w:r>
      <w:r w:rsidRPr="00462D64">
        <w:rPr>
          <w:szCs w:val="22"/>
        </w:rPr>
        <w:t xml:space="preserve"> për çdo protokoll të Konventës.</w:t>
      </w:r>
    </w:p>
    <w:p w:rsidR="00EE5858" w:rsidRPr="00462D64" w:rsidRDefault="00EE5858" w:rsidP="00EE5858">
      <w:pPr>
        <w:pStyle w:val="Paragrafi"/>
        <w:rPr>
          <w:szCs w:val="22"/>
        </w:rPr>
      </w:pPr>
    </w:p>
    <w:p w:rsidR="00EE5858" w:rsidRPr="00462D64" w:rsidRDefault="00EE5858" w:rsidP="00EE5858">
      <w:pPr>
        <w:pStyle w:val="TitulliTitull"/>
      </w:pPr>
      <w:r w:rsidRPr="00462D64">
        <w:t>Shtojca</w:t>
      </w:r>
    </w:p>
    <w:p w:rsidR="00EE5858" w:rsidRPr="00462D64" w:rsidRDefault="00EE5858" w:rsidP="00EE5858">
      <w:pPr>
        <w:pStyle w:val="TitulliTitull"/>
      </w:pPr>
      <w:r w:rsidRPr="00462D64">
        <w:t>Lista e aktiviteteve</w:t>
      </w:r>
    </w:p>
    <w:p w:rsidR="00EE5858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1. Rafineri të naftës bruto (duke përjashtuar sipërmarrje për prodhimin e lubrifikanteve nga nafta bruto) dhe instalime për gazifikimin dhe</w:t>
      </w:r>
      <w:r>
        <w:rPr>
          <w:szCs w:val="22"/>
        </w:rPr>
        <w:t xml:space="preserve"> lëngëzimin e 500 tonëve metrikë ose më</w:t>
      </w:r>
      <w:r w:rsidRPr="00462D64">
        <w:rPr>
          <w:szCs w:val="22"/>
        </w:rPr>
        <w:t xml:space="preserve"> tepër qymyr ose rërë bituminoze në ditë.</w:t>
      </w:r>
    </w:p>
    <w:p w:rsidR="00EE5858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2</w:t>
      </w:r>
      <w:r>
        <w:rPr>
          <w:szCs w:val="22"/>
        </w:rPr>
        <w:t xml:space="preserve">. </w:t>
      </w:r>
      <w:r w:rsidRPr="00462D64">
        <w:rPr>
          <w:szCs w:val="22"/>
        </w:rPr>
        <w:t>a) Termocentrale të prodhimit të energjisë dhe impiante të tjera të djegies me prodhim nxehtësie prej 300 megawat ose më shumë, dhe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b) Stacione bërthamore dhe reaktorë të tjerë bërthamorë duke përfshirë çmontimin dhe heqjen nga funksionimi të këtyre stac</w:t>
      </w:r>
      <w:r>
        <w:rPr>
          <w:szCs w:val="22"/>
        </w:rPr>
        <w:t>ioneve dhe reaktorëve bërthamorë</w:t>
      </w:r>
      <w:r w:rsidRPr="00462D64">
        <w:rPr>
          <w:szCs w:val="22"/>
        </w:rPr>
        <w:t xml:space="preserve"> 1</w:t>
      </w:r>
      <w:r>
        <w:rPr>
          <w:szCs w:val="22"/>
        </w:rPr>
        <w:t xml:space="preserve"> </w:t>
      </w:r>
      <w:r w:rsidRPr="00462D64">
        <w:rPr>
          <w:szCs w:val="22"/>
        </w:rPr>
        <w:t>(duke përjashtuar impiantet kërkimore për prodhimin dhe konvertimin e materialeve të ndashme ose ushqyese, fuqia maksimale e të cilëve nuk i kalon 1 kilowat ngarkesë termike të vazhdueshme).</w:t>
      </w:r>
    </w:p>
    <w:p w:rsidR="00EE5858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lastRenderedPageBreak/>
        <w:t>3. a) Instalime për ripërpunimin e kar</w:t>
      </w:r>
      <w:r>
        <w:rPr>
          <w:szCs w:val="22"/>
        </w:rPr>
        <w:t>burantit bërthamor të rrezatuar.</w:t>
      </w:r>
    </w:p>
    <w:p w:rsidR="00EE5858" w:rsidRPr="00462D64" w:rsidRDefault="00EE5858" w:rsidP="00EE5858">
      <w:pPr>
        <w:pStyle w:val="Paragrafi"/>
        <w:ind w:left="720" w:firstLine="0"/>
        <w:rPr>
          <w:szCs w:val="22"/>
        </w:rPr>
      </w:pPr>
      <w:r>
        <w:rPr>
          <w:szCs w:val="22"/>
        </w:rPr>
        <w:t xml:space="preserve">    </w:t>
      </w:r>
      <w:r w:rsidRPr="00462D64">
        <w:rPr>
          <w:szCs w:val="22"/>
        </w:rPr>
        <w:t>b) Instalime të projektuara: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- Për prodhimin dhe pa</w:t>
      </w:r>
      <w:r>
        <w:rPr>
          <w:szCs w:val="22"/>
        </w:rPr>
        <w:t>surimin e karburantit bërthamor;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- Për përpunimin e karburantit bërthamor të rrezatuar ose mbetjeve me</w:t>
      </w:r>
      <w:r>
        <w:rPr>
          <w:szCs w:val="22"/>
        </w:rPr>
        <w:t xml:space="preserve"> nivel të lartë radioaktiviteti;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- Për depozitimin përfundimtar të kar</w:t>
      </w:r>
      <w:r>
        <w:rPr>
          <w:szCs w:val="22"/>
        </w:rPr>
        <w:t>burantit bërthamor të rrezatuar;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- Vetëm për depozitimin përfu</w:t>
      </w:r>
      <w:r>
        <w:rPr>
          <w:szCs w:val="22"/>
        </w:rPr>
        <w:t>ndimtar të mbetjeve radioaktive;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- Vetëm për ruajtjen (e planifikuar për më shumë se 10 vjet) të karburantit bërthamor të rrezatuar ose mbetjes radioaktive në një vend të ndryshëm nga vendi i prodhimit.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4. Instalime të mëdha për shkrirjen fillestare të gizës dhe çelikut dhe për prodhimin e metaleve pa përmbajtje hekuri.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5. Instalime për nxjerrjen e asbestit dhe për përpunimin dhe transformimin e asbestit dhe produkt</w:t>
      </w:r>
      <w:r>
        <w:rPr>
          <w:szCs w:val="22"/>
        </w:rPr>
        <w:t>e</w:t>
      </w:r>
      <w:r w:rsidRPr="00462D64">
        <w:rPr>
          <w:szCs w:val="22"/>
        </w:rPr>
        <w:t>ve që përmbajnë asbest: për produktet e asbest-çimentos, me një prodhim vjetor prej më shumë se 20 000 ton</w:t>
      </w:r>
      <w:r>
        <w:rPr>
          <w:szCs w:val="22"/>
        </w:rPr>
        <w:t>ë metrikë produkt përfundimtar; p</w:t>
      </w:r>
      <w:r w:rsidRPr="00462D64">
        <w:rPr>
          <w:szCs w:val="22"/>
        </w:rPr>
        <w:t>ër materiale fërkimi, me një prodhim vjetor prej më shumë se 50 ton</w:t>
      </w:r>
      <w:r>
        <w:rPr>
          <w:szCs w:val="22"/>
        </w:rPr>
        <w:t>ë metrikë produkt përfundimtar</w:t>
      </w:r>
      <w:r w:rsidRPr="00462D64">
        <w:rPr>
          <w:szCs w:val="22"/>
        </w:rPr>
        <w:t xml:space="preserve"> dhe për përdorimin e llojeve të tjera të asbestit për më shumë se 200 ton</w:t>
      </w:r>
      <w:r>
        <w:rPr>
          <w:szCs w:val="22"/>
        </w:rPr>
        <w:t>ë metrikë</w:t>
      </w:r>
      <w:r w:rsidRPr="00462D64">
        <w:rPr>
          <w:szCs w:val="22"/>
        </w:rPr>
        <w:t xml:space="preserve"> në vit.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6. Instalime kimike të integruara</w:t>
      </w:r>
      <w:r>
        <w:rPr>
          <w:szCs w:val="22"/>
        </w:rPr>
        <w:t>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7.a) Ndërtimi i autostradave, rrugëve të shpejtësisë 2/ dhe linjave të distancave</w:t>
      </w:r>
      <w:r>
        <w:rPr>
          <w:szCs w:val="22"/>
        </w:rPr>
        <w:t xml:space="preserve"> të gjata të trafikut hekur</w:t>
      </w:r>
      <w:r w:rsidRPr="00462D64">
        <w:rPr>
          <w:szCs w:val="22"/>
        </w:rPr>
        <w:t>udhor dhe të aeroporteve 3/ me pistë bazë (ngritje-ulje) prej 2100 metra ose më tepër.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b) Ndërtimi i një rruge të re me katër korsi ose më shumë, ose riorganizimi dhe/ose zgjerimi i një rruge ekzistuese me dy ose më pak korsi për të siguruar katër ose më shumë korsi ku kjo rrugë e re ose riorganizimi dhe/ose</w:t>
      </w:r>
      <w:r>
        <w:rPr>
          <w:szCs w:val="22"/>
        </w:rPr>
        <w:t xml:space="preserve"> zgjerimi i seksionit të rrugës</w:t>
      </w:r>
      <w:r w:rsidRPr="00462D64">
        <w:rPr>
          <w:szCs w:val="22"/>
        </w:rPr>
        <w:t xml:space="preserve"> do të jetë 10 km ose më shumë në gjatësi të vazhduar.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8. Tubacionet me diametër të madh për transportimin e naftës, gazit ose kimikateve.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9. Portet tregtare dhe gjithashtu rrugët ujore të brendshme dhe portet për trafikun ujor të brendshëm që lejojnë kalimin e anijeve me tonazh mbi 1350 ton</w:t>
      </w:r>
      <w:r>
        <w:rPr>
          <w:szCs w:val="22"/>
        </w:rPr>
        <w:t>ë</w:t>
      </w:r>
      <w:r w:rsidRPr="00462D64">
        <w:rPr>
          <w:szCs w:val="22"/>
        </w:rPr>
        <w:t xml:space="preserve"> metrikë.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10. a) Instalime të depozitimit të mbetur</w:t>
      </w:r>
      <w:r>
        <w:rPr>
          <w:szCs w:val="22"/>
        </w:rPr>
        <w:t>inave për djegie, trajtim kimik</w:t>
      </w:r>
      <w:r w:rsidRPr="00462D64">
        <w:rPr>
          <w:szCs w:val="22"/>
        </w:rPr>
        <w:t xml:space="preserve"> ose groposje për mbetje toksike dhe të rrezikshme.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b) Instalime të depozitimit të mbeturinave për djegie ose trajtim kimik të mbetjeve të parrezikshme me kapacitet mbi 100 ton metrikë në ditë.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11. Diga dhe rezervuarë të mëdhenj.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12. Aktivitetet e nxjerrjes së ujërave nëntokësore ose skemat artificiale të ringarkimit të ujërave nëntokësore, ku vëllimi vjetor i sasive të ujërave të nxjerra ose të ringarkuara është 10 milionë  m</w:t>
      </w:r>
      <w:r w:rsidRPr="00462D64">
        <w:rPr>
          <w:szCs w:val="22"/>
          <w:vertAlign w:val="superscript"/>
        </w:rPr>
        <w:t>3</w:t>
      </w:r>
      <w:r w:rsidRPr="00462D64">
        <w:rPr>
          <w:szCs w:val="22"/>
        </w:rPr>
        <w:t xml:space="preserve"> ose më shumë.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13. Prodhimi i letrës, brumit të letrës dhe kartonit me kapacitet 200 ton</w:t>
      </w:r>
      <w:r>
        <w:rPr>
          <w:szCs w:val="22"/>
        </w:rPr>
        <w:t>ë</w:t>
      </w:r>
      <w:r w:rsidRPr="00462D64">
        <w:rPr>
          <w:szCs w:val="22"/>
        </w:rPr>
        <w:t xml:space="preserve"> metrikë në ditë ose më shumë</w:t>
      </w:r>
      <w:r>
        <w:rPr>
          <w:szCs w:val="22"/>
        </w:rPr>
        <w:t>,</w:t>
      </w:r>
      <w:r w:rsidRPr="00462D64">
        <w:rPr>
          <w:szCs w:val="22"/>
        </w:rPr>
        <w:t xml:space="preserve"> i tharë me ajër.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14. Miniera dhe kariera (gurore) të mëdha, nxjerrja dhe përpunimi në vend i mineraleve metalike ose qymyrit.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 xml:space="preserve">15. Prodhimi i hidrokarbureve në det. Nxjerrja e naftës dhe </w:t>
      </w:r>
      <w:r>
        <w:rPr>
          <w:szCs w:val="22"/>
        </w:rPr>
        <w:t xml:space="preserve">e </w:t>
      </w:r>
      <w:r w:rsidRPr="00462D64">
        <w:rPr>
          <w:szCs w:val="22"/>
        </w:rPr>
        <w:t>gazit natyror për qëllime tregtare ku sasia e nxjerrë kalon 500 ton</w:t>
      </w:r>
      <w:r>
        <w:rPr>
          <w:szCs w:val="22"/>
        </w:rPr>
        <w:t>ë</w:t>
      </w:r>
      <w:r w:rsidRPr="00462D64">
        <w:rPr>
          <w:szCs w:val="22"/>
        </w:rPr>
        <w:t xml:space="preserve"> metrikë në ditë në rastin e naftës dhe 500 000 m</w:t>
      </w:r>
      <w:r w:rsidRPr="00462D64">
        <w:rPr>
          <w:szCs w:val="22"/>
          <w:vertAlign w:val="superscript"/>
        </w:rPr>
        <w:t>3</w:t>
      </w:r>
      <w:r w:rsidRPr="00462D64">
        <w:rPr>
          <w:szCs w:val="22"/>
        </w:rPr>
        <w:t xml:space="preserve"> në ditë në rastin e gazit.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16. Impiante të mëdha për ruajtjen e naftës</w:t>
      </w:r>
      <w:r>
        <w:rPr>
          <w:szCs w:val="22"/>
        </w:rPr>
        <w:t>,</w:t>
      </w:r>
      <w:r w:rsidRPr="00462D64">
        <w:rPr>
          <w:szCs w:val="22"/>
        </w:rPr>
        <w:t xml:space="preserve"> produkteve petrokimike dhe kimike.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17. Shpyllëzimi i zonave të mëdha.</w:t>
      </w:r>
    </w:p>
    <w:p w:rsidR="00EE5858" w:rsidRDefault="00EE5858" w:rsidP="00EE5858">
      <w:pPr>
        <w:pStyle w:val="Paragrafi"/>
        <w:rPr>
          <w:szCs w:val="22"/>
        </w:rPr>
      </w:pPr>
      <w:r>
        <w:rPr>
          <w:szCs w:val="22"/>
        </w:rPr>
        <w:t xml:space="preserve">18. </w:t>
      </w:r>
      <w:r w:rsidRPr="00462D64">
        <w:rPr>
          <w:szCs w:val="22"/>
        </w:rPr>
        <w:t>a) Punime për transferimin e burimeve ujore ndërmjet baseneve të lumenjve, ku transferimi synon parandalimin e pakësimit të ujërave, dhe ku sasia e ujërave të transferuara është më e madhe se 100 milionë m</w:t>
      </w:r>
      <w:r w:rsidRPr="00462D64">
        <w:rPr>
          <w:szCs w:val="22"/>
          <w:vertAlign w:val="superscript"/>
        </w:rPr>
        <w:t>3</w:t>
      </w:r>
      <w:r w:rsidRPr="00462D64">
        <w:rPr>
          <w:szCs w:val="22"/>
        </w:rPr>
        <w:t xml:space="preserve"> në vit;</w:t>
      </w:r>
    </w:p>
    <w:p w:rsidR="00EE5858" w:rsidRDefault="00EE5858" w:rsidP="00EE5858">
      <w:pPr>
        <w:pStyle w:val="Paragrafi"/>
        <w:rPr>
          <w:szCs w:val="22"/>
        </w:rPr>
      </w:pPr>
    </w:p>
    <w:p w:rsidR="00EE5858" w:rsidRDefault="00EE5858" w:rsidP="00EE5858">
      <w:pPr>
        <w:pStyle w:val="Paragrafi"/>
        <w:rPr>
          <w:szCs w:val="22"/>
        </w:rPr>
      </w:pPr>
    </w:p>
    <w:p w:rsidR="00EE5858" w:rsidRDefault="00EE5858" w:rsidP="00EE5858">
      <w:pPr>
        <w:pStyle w:val="Paragrafi"/>
        <w:rPr>
          <w:szCs w:val="22"/>
        </w:rPr>
      </w:pP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b) Në të gjitha rastet e tjera, punime për transferimin e burimeve ujore nga basenet e lumenjve ku rrjedha shumëvjeçare e basenit është më e madhe se 2000 milionë m</w:t>
      </w:r>
      <w:r w:rsidRPr="00462D64">
        <w:rPr>
          <w:szCs w:val="22"/>
          <w:vertAlign w:val="superscript"/>
        </w:rPr>
        <w:t>3</w:t>
      </w:r>
      <w:r w:rsidRPr="00462D64">
        <w:rPr>
          <w:szCs w:val="22"/>
        </w:rPr>
        <w:t xml:space="preserve"> në vit dhe ku sasia e ujit të transferuar është më e madhe se 5 për qind e kësaj rrjedhjeje. Në të dyja rastet përjashtohet transferimi i ujit të pijshëm me tubacione.</w:t>
      </w:r>
    </w:p>
    <w:p w:rsidR="00EE5858" w:rsidRPr="00462D64" w:rsidRDefault="00EE5858" w:rsidP="00EE5858">
      <w:pPr>
        <w:pStyle w:val="Paragrafi"/>
        <w:rPr>
          <w:szCs w:val="22"/>
        </w:rPr>
      </w:pPr>
      <w:r>
        <w:rPr>
          <w:szCs w:val="22"/>
        </w:rPr>
        <w:t>19. Impiante për trajtimin e</w:t>
      </w:r>
      <w:r w:rsidRPr="00462D64">
        <w:rPr>
          <w:szCs w:val="22"/>
        </w:rPr>
        <w:t xml:space="preserve"> ujërave të ndotura me kapacitet që </w:t>
      </w:r>
      <w:r>
        <w:rPr>
          <w:szCs w:val="22"/>
        </w:rPr>
        <w:t xml:space="preserve">e </w:t>
      </w:r>
      <w:r w:rsidRPr="00462D64">
        <w:rPr>
          <w:szCs w:val="22"/>
        </w:rPr>
        <w:t>kalon ekuivalentin e n</w:t>
      </w:r>
      <w:r>
        <w:rPr>
          <w:szCs w:val="22"/>
        </w:rPr>
        <w:t>j</w:t>
      </w:r>
      <w:r w:rsidRPr="00462D64">
        <w:rPr>
          <w:szCs w:val="22"/>
        </w:rPr>
        <w:t>ë popullsie 150 000 banorë.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lastRenderedPageBreak/>
        <w:t>20. Instalimet për rritjen intensive të shpendëve dhe derrave që kanë më shumë se: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a) 85 000 vende për zogj;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b) 60 000 vende për pula;</w:t>
      </w:r>
    </w:p>
    <w:p w:rsidR="00EE5858" w:rsidRPr="00462D64" w:rsidRDefault="00EE5858" w:rsidP="00EE5858">
      <w:pPr>
        <w:pStyle w:val="Paragrafi"/>
        <w:rPr>
          <w:szCs w:val="22"/>
        </w:rPr>
      </w:pPr>
      <w:r>
        <w:rPr>
          <w:szCs w:val="22"/>
        </w:rPr>
        <w:t xml:space="preserve">c) 3000 </w:t>
      </w:r>
      <w:r w:rsidRPr="00462D64">
        <w:rPr>
          <w:szCs w:val="22"/>
        </w:rPr>
        <w:t>vende për derra (mbi 30 kg);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 xml:space="preserve">d) </w:t>
      </w:r>
      <w:r>
        <w:rPr>
          <w:szCs w:val="22"/>
        </w:rPr>
        <w:t xml:space="preserve">900 </w:t>
      </w:r>
      <w:r w:rsidRPr="00462D64">
        <w:rPr>
          <w:szCs w:val="22"/>
        </w:rPr>
        <w:t>vende për dosa.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21. Ndërtimi i linjave ajrore të tensionit të lartë me një tension 220 kV ose më shumë dhe një gjatësi prej më shumë se 15 km.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22. Instalime të mëdha për shfrytëzimin e kombinuar të fuqisë së erës për prodhim energjie (fermat e erës).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1. Për qëllimet e kësaj Konvente, stacionet e fuqisë bërthamore dhe reaktorët</w:t>
      </w:r>
      <w:r>
        <w:rPr>
          <w:szCs w:val="22"/>
        </w:rPr>
        <w:t xml:space="preserve"> </w:t>
      </w:r>
      <w:r w:rsidRPr="00462D64">
        <w:rPr>
          <w:szCs w:val="22"/>
        </w:rPr>
        <w:t>e tjerë bërthamorë pushojnë së qeni instalime të tilla kur gjithë karburanti bërthamor dhe elementet e tjera të ndotur</w:t>
      </w:r>
      <w:r>
        <w:rPr>
          <w:szCs w:val="22"/>
        </w:rPr>
        <w:t>a radioaktive</w:t>
      </w:r>
      <w:r w:rsidRPr="00462D64">
        <w:rPr>
          <w:szCs w:val="22"/>
        </w:rPr>
        <w:t xml:space="preserve"> janë zhvendosur përfundimisht nga vendi i instalimit.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2.</w:t>
      </w:r>
      <w:r>
        <w:rPr>
          <w:szCs w:val="22"/>
        </w:rPr>
        <w:t xml:space="preserve"> </w:t>
      </w:r>
      <w:r w:rsidRPr="00462D64">
        <w:rPr>
          <w:szCs w:val="22"/>
        </w:rPr>
        <w:t>Për qëllime të kësaj Konvente: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“Autostradë” është një rrugë e projektuar dhe e ndërtuar për trafik automobilistik, e cila nuk u shërben zonave përreth, dhe e cila: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a) Është e pajisur</w:t>
      </w:r>
      <w:r>
        <w:rPr>
          <w:szCs w:val="22"/>
        </w:rPr>
        <w:t>,</w:t>
      </w:r>
      <w:r w:rsidRPr="00462D64">
        <w:rPr>
          <w:szCs w:val="22"/>
        </w:rPr>
        <w:t xml:space="preserve"> me përjashtim të pikave të veçanta ose përkohësisht, me karrexhata të ndara për të dy drejtimet e trafikut, të ndara nga njëra-tjetra nga një vijë ndarëse që nuk shkelet nga trafiku, ose në raste të rralla, me mjete të tjera;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b) Nuk ndërpritet në të njëjtin nivel nga ndon</w:t>
      </w:r>
      <w:r>
        <w:rPr>
          <w:szCs w:val="22"/>
        </w:rPr>
        <w:t>jë rrugë, shinë</w:t>
      </w:r>
      <w:r w:rsidRPr="00462D64">
        <w:rPr>
          <w:szCs w:val="22"/>
        </w:rPr>
        <w:t xml:space="preserve"> hekurudhe ose tramvaji apo rrugë këmbësorësh;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c) Është e sinjalizuar në mënyrë të veçantë si autostradë.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“Rrugë shpejtësie” është një rrugë e rezervuar për trafik makinash ku hyrja mund të bëhet vetëm nga kryqëzimet në disnivel o</w:t>
      </w:r>
      <w:r>
        <w:rPr>
          <w:szCs w:val="22"/>
        </w:rPr>
        <w:t>s</w:t>
      </w:r>
      <w:r w:rsidRPr="00462D64">
        <w:rPr>
          <w:szCs w:val="22"/>
        </w:rPr>
        <w:t>e kryqëzimet e kontrolluara dhe në të cilën veçanërisht ndalimi dhe parkimi janë të ndaluara përgjatë karrexhatave të lëvizjes.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3. Për qëllime të kësaj Konvente</w:t>
      </w:r>
      <w:r>
        <w:rPr>
          <w:szCs w:val="22"/>
        </w:rPr>
        <w:t>,</w:t>
      </w:r>
      <w:r w:rsidRPr="00462D64">
        <w:rPr>
          <w:szCs w:val="22"/>
        </w:rPr>
        <w:t xml:space="preserve"> “aeroport” do të thotë një aeroport që është në pajtim me përkufizimin e Konventës së (Çikagos të vitit 1944 për krijimin e Organizatës së Aviacionit Civil (aneksi 14).</w:t>
      </w:r>
    </w:p>
    <w:p w:rsidR="00EE5858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Vërtetoj se teksti i mësipërm është një kopje origjinale e amendamentit të</w:t>
      </w:r>
      <w:r>
        <w:rPr>
          <w:szCs w:val="22"/>
        </w:rPr>
        <w:t xml:space="preserve"> miratuar më 4 qershor 2004 në mbledhjen e tretë të p</w:t>
      </w:r>
      <w:r w:rsidRPr="00462D64">
        <w:rPr>
          <w:szCs w:val="22"/>
        </w:rPr>
        <w:t xml:space="preserve">alëve në Konventën mbi vlerësimin e ndikimit në ambient në një kontekst ndërkufitar, që u mbajt në Cavtat, Kroaci, nga </w:t>
      </w:r>
      <w:r>
        <w:rPr>
          <w:szCs w:val="22"/>
        </w:rPr>
        <w:t xml:space="preserve">data </w:t>
      </w:r>
      <w:r w:rsidRPr="00462D64">
        <w:rPr>
          <w:szCs w:val="22"/>
        </w:rPr>
        <w:t>1 deri 4 qershor 2004.</w:t>
      </w:r>
    </w:p>
    <w:p w:rsidR="00EE5858" w:rsidRPr="00462D64" w:rsidRDefault="00EE5858" w:rsidP="00EE5858">
      <w:pPr>
        <w:pStyle w:val="Paragrafi"/>
        <w:rPr>
          <w:szCs w:val="22"/>
        </w:rPr>
      </w:pP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Për Sekretarin e Përgjithshëm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Këshilltari Ligjor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(Nënsekretarin e Përgjithshëm për Çështjet Ligjore)</w:t>
      </w:r>
    </w:p>
    <w:p w:rsidR="00EE5858" w:rsidRPr="00462D64" w:rsidRDefault="00EE5858" w:rsidP="00EE5858">
      <w:pPr>
        <w:pStyle w:val="Paragrafi"/>
        <w:rPr>
          <w:szCs w:val="22"/>
        </w:rPr>
      </w:pP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 xml:space="preserve">Organizata e Kombeve të </w:t>
      </w:r>
      <w:smartTag w:uri="urn:schemas-microsoft-com:office:smarttags" w:element="place">
        <w:smartTag w:uri="urn:schemas-microsoft-com:office:smarttags" w:element="City">
          <w:r w:rsidRPr="00462D64">
            <w:rPr>
              <w:szCs w:val="22"/>
            </w:rPr>
            <w:t>Bashkuara</w:t>
          </w:r>
        </w:smartTag>
        <w:r w:rsidRPr="00462D64">
          <w:rPr>
            <w:szCs w:val="22"/>
          </w:rPr>
          <w:t xml:space="preserve">, </w:t>
        </w:r>
        <w:smartTag w:uri="urn:schemas-microsoft-com:office:smarttags" w:element="State">
          <w:r w:rsidRPr="00462D64">
            <w:rPr>
              <w:szCs w:val="22"/>
            </w:rPr>
            <w:t>New York</w:t>
          </w:r>
        </w:smartTag>
      </w:smartTag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10 nëntor 2004</w:t>
      </w:r>
    </w:p>
    <w:p w:rsidR="00EE5858" w:rsidRDefault="00EE5858" w:rsidP="00EE5858">
      <w:pPr>
        <w:pStyle w:val="Paragrafi"/>
        <w:rPr>
          <w:szCs w:val="22"/>
        </w:rPr>
      </w:pPr>
    </w:p>
    <w:p w:rsidR="00EE5858" w:rsidRDefault="00EE5858" w:rsidP="00EE5858">
      <w:pPr>
        <w:pStyle w:val="Paragrafi"/>
        <w:rPr>
          <w:szCs w:val="22"/>
        </w:rPr>
      </w:pPr>
    </w:p>
    <w:p w:rsidR="00EE5858" w:rsidRDefault="00EE5858" w:rsidP="00EE5858">
      <w:pPr>
        <w:pStyle w:val="Paragrafi"/>
        <w:rPr>
          <w:szCs w:val="22"/>
        </w:rPr>
      </w:pPr>
    </w:p>
    <w:p w:rsidR="00EE5858" w:rsidRDefault="00EE5858" w:rsidP="00EE5858">
      <w:pPr>
        <w:pStyle w:val="Paragrafi"/>
        <w:rPr>
          <w:szCs w:val="22"/>
        </w:rPr>
      </w:pPr>
    </w:p>
    <w:p w:rsidR="00EE5858" w:rsidRDefault="00EE5858" w:rsidP="00EE5858">
      <w:pPr>
        <w:pStyle w:val="Paragrafi"/>
        <w:rPr>
          <w:szCs w:val="22"/>
        </w:rPr>
      </w:pPr>
    </w:p>
    <w:p w:rsidR="00EE5858" w:rsidRDefault="00EE5858" w:rsidP="00EE5858">
      <w:pPr>
        <w:pStyle w:val="Paragrafi"/>
        <w:rPr>
          <w:szCs w:val="22"/>
        </w:rPr>
      </w:pPr>
    </w:p>
    <w:p w:rsidR="00EE5858" w:rsidRDefault="00EE5858" w:rsidP="00EE5858">
      <w:pPr>
        <w:pStyle w:val="Paragrafi"/>
        <w:rPr>
          <w:szCs w:val="22"/>
        </w:rPr>
      </w:pPr>
    </w:p>
    <w:p w:rsidR="00EE5858" w:rsidRDefault="00EE5858" w:rsidP="00EE5858">
      <w:pPr>
        <w:pStyle w:val="Paragrafi"/>
        <w:rPr>
          <w:szCs w:val="22"/>
        </w:rPr>
      </w:pPr>
    </w:p>
    <w:p w:rsidR="00EE5858" w:rsidRDefault="00EE5858" w:rsidP="00EE5858">
      <w:pPr>
        <w:pStyle w:val="Paragrafi"/>
        <w:rPr>
          <w:szCs w:val="22"/>
        </w:rPr>
      </w:pPr>
    </w:p>
    <w:p w:rsidR="00EE5858" w:rsidRPr="00462D64" w:rsidRDefault="00EE5858" w:rsidP="00EE5858">
      <w:pPr>
        <w:pStyle w:val="Paragrafi"/>
        <w:rPr>
          <w:szCs w:val="22"/>
        </w:rPr>
      </w:pPr>
    </w:p>
    <w:p w:rsidR="00EE5858" w:rsidRPr="00462D64" w:rsidRDefault="00EE5858" w:rsidP="00EE5858">
      <w:pPr>
        <w:pStyle w:val="TitulliTitull"/>
      </w:pPr>
      <w:r w:rsidRPr="00462D64">
        <w:t>Vendimi II/14</w:t>
      </w:r>
    </w:p>
    <w:p w:rsidR="00EE5858" w:rsidRPr="00462D64" w:rsidRDefault="00EE5858" w:rsidP="00EE5858">
      <w:pPr>
        <w:pStyle w:val="TitulliTitull"/>
      </w:pPr>
      <w:r>
        <w:t>Amendamenti i Konventës</w:t>
      </w:r>
      <w:r w:rsidRPr="00462D64">
        <w:t xml:space="preserve"> </w:t>
      </w:r>
      <w:r>
        <w:t xml:space="preserve">SË </w:t>
      </w:r>
      <w:r w:rsidRPr="00462D64">
        <w:t>ESPOO</w:t>
      </w:r>
      <w:r>
        <w:t>-S</w:t>
      </w:r>
    </w:p>
    <w:p w:rsidR="00EE5858" w:rsidRPr="00462D64" w:rsidRDefault="00EE5858" w:rsidP="00EE5858">
      <w:pPr>
        <w:pStyle w:val="Paragrafi"/>
        <w:rPr>
          <w:szCs w:val="22"/>
        </w:rPr>
      </w:pP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Mbledhja,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i/>
          <w:szCs w:val="22"/>
        </w:rPr>
        <w:t>me dëshirën</w:t>
      </w:r>
      <w:r w:rsidRPr="00462D64">
        <w:rPr>
          <w:szCs w:val="22"/>
        </w:rPr>
        <w:t xml:space="preserve"> për të ndryshuar Konventën ESPOO me qëllim që të sqarohet që publiku që mund të marrë pjesë në procedura</w:t>
      </w:r>
      <w:r>
        <w:rPr>
          <w:szCs w:val="22"/>
        </w:rPr>
        <w:t>,</w:t>
      </w:r>
      <w:r w:rsidRPr="00462D64">
        <w:rPr>
          <w:szCs w:val="22"/>
        </w:rPr>
        <w:t xml:space="preserve"> në bazë të kësaj Konvente</w:t>
      </w:r>
      <w:r>
        <w:rPr>
          <w:szCs w:val="22"/>
        </w:rPr>
        <w:t>,</w:t>
      </w:r>
      <w:r w:rsidRPr="00462D64">
        <w:rPr>
          <w:szCs w:val="22"/>
        </w:rPr>
        <w:t xml:space="preserve"> përfshin shoqërinë civile dhe veçanërisht organizatat joqeveritare;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i/>
          <w:szCs w:val="22"/>
        </w:rPr>
        <w:t>duke vënë</w:t>
      </w:r>
      <w:r w:rsidRPr="00462D64">
        <w:rPr>
          <w:szCs w:val="22"/>
        </w:rPr>
        <w:t xml:space="preserve"> në dukje paragrafin 13 të Deklaratës së Oslos </w:t>
      </w:r>
      <w:r>
        <w:rPr>
          <w:szCs w:val="22"/>
        </w:rPr>
        <w:t xml:space="preserve">të ministrave të ambientit dhe </w:t>
      </w:r>
      <w:r>
        <w:rPr>
          <w:szCs w:val="22"/>
        </w:rPr>
        <w:lastRenderedPageBreak/>
        <w:t>k</w:t>
      </w:r>
      <w:r w:rsidRPr="00462D64">
        <w:rPr>
          <w:szCs w:val="22"/>
        </w:rPr>
        <w:t>omisioner</w:t>
      </w:r>
      <w:r>
        <w:rPr>
          <w:szCs w:val="22"/>
        </w:rPr>
        <w:t>it të Komunitetit Europian për a</w:t>
      </w:r>
      <w:r w:rsidRPr="00462D64">
        <w:rPr>
          <w:szCs w:val="22"/>
        </w:rPr>
        <w:t xml:space="preserve">mbientin të mbledhur në </w:t>
      </w:r>
      <w:smartTag w:uri="urn:schemas-microsoft-com:office:smarttags" w:element="City">
        <w:smartTag w:uri="urn:schemas-microsoft-com:office:smarttags" w:element="place">
          <w:r w:rsidRPr="00462D64">
            <w:rPr>
              <w:szCs w:val="22"/>
            </w:rPr>
            <w:t>Oslo</w:t>
          </w:r>
        </w:smartTag>
      </w:smartTag>
      <w:r w:rsidRPr="00462D64">
        <w:rPr>
          <w:szCs w:val="22"/>
        </w:rPr>
        <w:t xml:space="preserve"> me rastin e mbledhjes së parë të palëve në Konventën ESPOO;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i/>
          <w:szCs w:val="22"/>
        </w:rPr>
        <w:t>me dëshirën</w:t>
      </w:r>
      <w:r w:rsidRPr="00462D64">
        <w:rPr>
          <w:szCs w:val="22"/>
        </w:rPr>
        <w:t xml:space="preserve"> për të lejuar shtetet që ndodhen jashtë rajonit UN/ECE të bëhen palë në Konventë,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adopton amendamentet e mëposhtme të Konventës: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a) Në fund të nenit 1(x) pas personave futet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dhe në pajtim me legjislacionin ose praktikën e brendshme, shoqatat</w:t>
      </w:r>
      <w:r>
        <w:rPr>
          <w:szCs w:val="22"/>
        </w:rPr>
        <w:t>,</w:t>
      </w:r>
      <w:r w:rsidRPr="00462D64">
        <w:rPr>
          <w:szCs w:val="22"/>
        </w:rPr>
        <w:t xml:space="preserve"> organizatat ose grupet e tyre.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b) Në nenin 17, pas paragrafit 2, futet një paragraf i ri me këtë formulim: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3. Çdo shtet tjetër që nuk është përmendur në paragrafin 2 të këtij neni dhe që është anëtar i Kombeve të Bashkuara mund të ader</w:t>
      </w:r>
      <w:r>
        <w:rPr>
          <w:szCs w:val="22"/>
        </w:rPr>
        <w:t>ojë në Konventë me miratimin e m</w:t>
      </w:r>
      <w:r w:rsidRPr="00462D64">
        <w:rPr>
          <w:szCs w:val="22"/>
        </w:rPr>
        <w:t>bledhjes së</w:t>
      </w:r>
      <w:r>
        <w:rPr>
          <w:szCs w:val="22"/>
        </w:rPr>
        <w:t xml:space="preserve"> palëve. Mbledhja e p</w:t>
      </w:r>
      <w:r w:rsidRPr="00462D64">
        <w:rPr>
          <w:szCs w:val="22"/>
        </w:rPr>
        <w:t>alëve nuk merr në shqyrtim apo aprovon asnjë kërkesë për aderim nga një shtet i tillë</w:t>
      </w:r>
      <w:r>
        <w:rPr>
          <w:szCs w:val="22"/>
        </w:rPr>
        <w:t>,</w:t>
      </w:r>
      <w:r w:rsidRPr="00462D64">
        <w:rPr>
          <w:szCs w:val="22"/>
        </w:rPr>
        <w:t xml:space="preserve"> derisa ky paragraf n</w:t>
      </w:r>
      <w:r>
        <w:rPr>
          <w:szCs w:val="22"/>
        </w:rPr>
        <w:t>uk ka hyrë në fuqi për të gjitha</w:t>
      </w:r>
      <w:r w:rsidRPr="00462D64">
        <w:rPr>
          <w:szCs w:val="22"/>
        </w:rPr>
        <w:t xml:space="preserve"> shtetet dhe organizatat që ishin palë në Konventë më 27 shkurt 2001.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Dhe numrat e paragrafëve të tjerë ndryshohen përkatësisht.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c) Në fund të nenit 17, futet një paragraf i ri me këtë formulim:</w:t>
      </w:r>
    </w:p>
    <w:p w:rsidR="00EE5858" w:rsidRPr="00462D64" w:rsidRDefault="00EE5858" w:rsidP="00EE5858">
      <w:pPr>
        <w:pStyle w:val="Paragrafi"/>
        <w:rPr>
          <w:szCs w:val="22"/>
        </w:rPr>
      </w:pPr>
      <w:r w:rsidRPr="00462D64">
        <w:rPr>
          <w:szCs w:val="22"/>
        </w:rPr>
        <w:t>7. Çdo shtet apo organizatë që ratifikon, pranon ose aprovon këtë Konventë konsiderohet të ketë ratifikuar, pranuar apo aprovuar njëkohësisht amendamentin e Konventës</w:t>
      </w:r>
      <w:r>
        <w:rPr>
          <w:szCs w:val="22"/>
        </w:rPr>
        <w:t>,</w:t>
      </w:r>
      <w:r w:rsidRPr="00462D64">
        <w:rPr>
          <w:szCs w:val="22"/>
        </w:rPr>
        <w:t xml:space="preserve"> të caktuar në vendimin II/14 të marrë në mbledhjen e dytë të palëve.</w:t>
      </w:r>
    </w:p>
    <w:p w:rsidR="00EE5858" w:rsidRPr="00462D64" w:rsidRDefault="00EE5858" w:rsidP="00EE5858">
      <w:pPr>
        <w:pStyle w:val="Paragrafi"/>
        <w:ind w:firstLine="0"/>
        <w:rPr>
          <w:szCs w:val="22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7D65F8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04618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EE5858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07B4A3-F6DD-44DD-A4BB-FF84D0E7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EE5858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2019-03-16T13:31:00Z</dcterms:created>
  <dcterms:modified xsi:type="dcterms:W3CDTF">2019-03-16T13:31:00Z</dcterms:modified>
</cp:coreProperties>
</file>