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A8F" w:rsidRPr="00CC128C" w:rsidRDefault="002E6A8F" w:rsidP="002E6A8F">
      <w:pPr>
        <w:pStyle w:val="Akti"/>
        <w:rPr>
          <w:sz w:val="21"/>
          <w:szCs w:val="21"/>
        </w:rPr>
      </w:pPr>
      <w:bookmarkStart w:id="0" w:name="_GoBack"/>
      <w:bookmarkEnd w:id="0"/>
      <w:r w:rsidRPr="00CC128C">
        <w:rPr>
          <w:sz w:val="21"/>
          <w:szCs w:val="21"/>
        </w:rPr>
        <w:t>L I G J</w:t>
      </w:r>
    </w:p>
    <w:p w:rsidR="002E6A8F" w:rsidRPr="00CC128C" w:rsidRDefault="002E6A8F" w:rsidP="002E6A8F">
      <w:pPr>
        <w:pStyle w:val="NumriData"/>
        <w:rPr>
          <w:sz w:val="21"/>
          <w:szCs w:val="21"/>
        </w:rPr>
      </w:pPr>
      <w:r w:rsidRPr="00CC128C">
        <w:rPr>
          <w:sz w:val="21"/>
          <w:szCs w:val="21"/>
        </w:rPr>
        <w:t>Nr.9512, datë 10.4.2006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Titulli"/>
        <w:rPr>
          <w:sz w:val="21"/>
          <w:szCs w:val="21"/>
        </w:rPr>
      </w:pPr>
      <w:r w:rsidRPr="00CC128C">
        <w:rPr>
          <w:sz w:val="21"/>
          <w:szCs w:val="21"/>
        </w:rPr>
        <w:t>PËR DISA NDRYSHIME  DHE SHTESA NË LIGJIN NR.9072, DATË 22.5.2003 “PËR SEKTORIN E ENERGJISË ELEKTRIKE”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BazLigjPropozues"/>
        <w:rPr>
          <w:sz w:val="21"/>
          <w:szCs w:val="21"/>
        </w:rPr>
      </w:pPr>
      <w:r w:rsidRPr="00CC128C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Institucioni"/>
        <w:rPr>
          <w:sz w:val="21"/>
          <w:szCs w:val="21"/>
        </w:rPr>
      </w:pPr>
      <w:r w:rsidRPr="00CC128C">
        <w:rPr>
          <w:sz w:val="21"/>
          <w:szCs w:val="21"/>
        </w:rPr>
        <w:t>K U V E N D I</w:t>
      </w:r>
    </w:p>
    <w:p w:rsidR="002E6A8F" w:rsidRPr="00CC128C" w:rsidRDefault="002E6A8F" w:rsidP="002E6A8F">
      <w:pPr>
        <w:pStyle w:val="Institucioni"/>
        <w:rPr>
          <w:sz w:val="21"/>
          <w:szCs w:val="21"/>
        </w:rPr>
      </w:pPr>
      <w:r w:rsidRPr="00CC128C">
        <w:rPr>
          <w:sz w:val="21"/>
          <w:szCs w:val="21"/>
        </w:rPr>
        <w:t>I REPUBLIKËS SË SHQIPËRISË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VENDOSI"/>
        <w:rPr>
          <w:sz w:val="21"/>
          <w:szCs w:val="21"/>
        </w:rPr>
      </w:pPr>
      <w:r w:rsidRPr="00CC128C">
        <w:rPr>
          <w:sz w:val="21"/>
          <w:szCs w:val="21"/>
        </w:rPr>
        <w:t>V E N D O S I: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ab/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Në ligjin nr.9072, datë 22.5.2003 “Për sektorin e energjisë elektrike”, bëhen këto ndryshime e shtesa: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t>Neni 1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Në nenin 3  bëhen ndryshimet dhe shtesa e mëposhtme: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1. Pikat 22, 23, 30 dhe 33 ndryshohen si më poshtë:</w:t>
      </w:r>
    </w:p>
    <w:p w:rsidR="002E6A8F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“22. “Shoqëri transmetimi” ose “Operatori i sistemit të transmetimit” është personi i licencuar për të kryer veprimtaritë e transmetimit të energjisë elektrike, dispeçerimit të sistemit elektroenergjetik, si dhe për operimin e tregut të energjisë elektrike.</w:t>
      </w:r>
    </w:p>
    <w:p w:rsidR="002E6A8F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23. “Dispeçerim” është operimi i sistemit elektroenergjetik, në mënyrë që të ruhen balancat ndërmjet prodhimit, import/eksportit dhe konsumit të energjisë elektrike në nivel kombëtar, duke ruajtur sigurinë dhe qëndrueshmërinë e sistemit.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30. “Furnizim” është lëvrimi dhe shitja e energjisë elektrike te klienti.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33. “Klienti tarifor” është klienti, që furnizohet nga furnizuesi publik me çmime dhe tarifa të rregulluara.”.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2. Pas pikës 30 shtohet pika 30/1 me këtë përmbajtje: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“ 30/l. “Furnizuesi publik” është personi i licencuar për të furnizuar klientët tariforë.”.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t>Neni 2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Pikat 4 e 7 të nenit 4 ndryshohen si më poshtë: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“4. Ekipi përzgjedhës përbëhet nga dy përfaqësues të Kuvendit, përkatësisht nga Kryetari i Komisionit të Përhershëm për Veprimtaritë Prodhuese, Tregtinë dhe Mjedisin dhe Kryetari i Komisionit të Përhershëm për Ekonominë dhe Financat, si dhe ministri përgjegjës për energjinë. Ekipi përzgjedhës merr vendim me shumicë të thjeshtë të votave të anëtarëve të tij.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7. Kryetari dhe anëtarët e bordit duhet të jenë persona me arsim të lartë dhe me përvojë: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a) Kryetari të jetë një person i shquar në fushën e elektroenergjetikës. Ai duhet të ketë jo më pak se 15 vjet përvojë pune, prej të cilave jo më pak se 10 vjet në sektorin e energjisë elektrike;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b) njëri nga anëtarët duhet të ketë jo më pak se 10 vjet përvojë pune si inxhinier elektrik në sektorin elektroenergjetik;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c) dy nga anëtarët duhet të jenë ekonomistë dhe të kenë jo më pak se 7 vjet përvojë pune në këtë profesion;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ç) njëri nga anëtarët duhet të jetë jurist dhe të ketë jo më pak se 7 vjet përvojë pune në këtë profesion.”.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t>Neni 3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 xml:space="preserve">Pas shkronjës “d” të nenit 5 shtohet shkronja “dh” me këtë përmbajtje: 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“dh) kur nuk plotësohen kriteret e përcaktuara në nenin 4 të ligjit.”.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lastRenderedPageBreak/>
        <w:t>Neni 4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Pas pikës 7 të nenit 13 shtohet pika 8 me këtë përmbajtje: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“8. Çdo person që kërkon të ushtrojë veprimtarinë në këtë fushë duhet të licencohet, sipas këtij ligji, nga ERE-ja.”.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t>Neni 5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Në nenin 41 bëhen ndryshimet si më poshtë: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1. Shkronja “d” shfuqizohet.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2. Pas pikës 3 shtohet pika 4 me këtë përmbajtje: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“4. Operatori i sistemit të transmetimit kryen edhe funksionet e operatorit të tregut të energjisë elektrike, në përputhje me aktet e tjera nënligjore në fushën e energjisë elektrike.”.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t>Neni 6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Pikat 1 e 2 të nenit 45 ndryshohen si më poshtë: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“l. Furnizimi i përdoruesve të energjisë elektrike kryhet nga shoqëri të licencuara për shpërndarjen dhe/ose furnizimin e energjisë elektrike, për rastin e klientëve tariforë dhe nga furnizuesit e kualifikuar, në rastin e klientëve me statusin e klientit të kualifikuar.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2. ERE-ja përcakton kriteret e licencimit të “furnizuesve” dhe të “furnizuesve të kualifikuar”.”.</w:t>
      </w:r>
    </w:p>
    <w:p w:rsidR="002E6A8F" w:rsidRDefault="002E6A8F" w:rsidP="002E6A8F">
      <w:pPr>
        <w:pStyle w:val="Paragrafi"/>
        <w:rPr>
          <w:sz w:val="21"/>
          <w:szCs w:val="21"/>
        </w:rPr>
      </w:pPr>
    </w:p>
    <w:p w:rsidR="002E6A8F" w:rsidRDefault="002E6A8F" w:rsidP="002E6A8F">
      <w:pPr>
        <w:pStyle w:val="Paragrafi"/>
        <w:rPr>
          <w:sz w:val="21"/>
          <w:szCs w:val="21"/>
        </w:rPr>
      </w:pPr>
    </w:p>
    <w:p w:rsidR="002E6A8F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t>Neni 7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Neni 48 ndryshohet si më poshtë: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t>“Neni 48</w:t>
      </w:r>
    </w:p>
    <w:p w:rsidR="002E6A8F" w:rsidRPr="00CC128C" w:rsidRDefault="002E6A8F" w:rsidP="002E6A8F">
      <w:pPr>
        <w:pStyle w:val="NeniTitull"/>
        <w:rPr>
          <w:sz w:val="21"/>
          <w:szCs w:val="21"/>
        </w:rPr>
      </w:pPr>
      <w:r w:rsidRPr="00CC128C">
        <w:rPr>
          <w:sz w:val="21"/>
          <w:szCs w:val="21"/>
        </w:rPr>
        <w:t>Klienti i kualifikuar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1. Brenda muajit janar të çdo viti, ERE-ja përcakton dhe boton nivelin e konsumit vjetor, si dhe kushtet e tjera, kur një klient mund të marrë statusin e klientit të kualifikuar. ERE-ja miraton një rregullore të veçantë për kriteret e dhënies dhe të heqjes së statusit të klientit të kualifikuar.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 xml:space="preserve">2. Pas marrjes së statusit, klienti i kualifikuar ka të drejtë të lidhë kontratë për furnizimin me energji elektrike me çdo furnizues të kualifikuar, </w:t>
      </w:r>
      <w:smartTag w:uri="urn:schemas-microsoft-com:office:smarttags" w:element="country-region">
        <w:smartTag w:uri="urn:schemas-microsoft-com:office:smarttags" w:element="place">
          <w:r w:rsidRPr="00CC128C">
            <w:rPr>
              <w:sz w:val="21"/>
              <w:szCs w:val="21"/>
            </w:rPr>
            <w:t>vendas</w:t>
          </w:r>
        </w:smartTag>
      </w:smartTag>
      <w:r w:rsidRPr="00CC128C">
        <w:rPr>
          <w:sz w:val="21"/>
          <w:szCs w:val="21"/>
        </w:rPr>
        <w:t xml:space="preserve"> ose të huaj, të licencuar nga ERE-ja. Kontrata do të jetë në përputhje me rregullat e tregut të energjisë elektrike, të miratuara nga ERE-ja.”.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t>Neni  8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Pika 3 e nenit 52 ndryshohet si më poshtë: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“3. ERE-ja, në licencën e shpërndarjes ose furnizimit me energji elektrike, që i jep operatorëve, përcakton afatin e kohëzgjatjes së periudhës tranzitore, sipas pikës 2 të këtij neni.”.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</w:pPr>
      <w:r w:rsidRPr="00CC128C">
        <w:t>Neni  9</w:t>
      </w:r>
    </w:p>
    <w:p w:rsidR="002E6A8F" w:rsidRPr="00CC128C" w:rsidRDefault="002E6A8F" w:rsidP="002E6A8F">
      <w:pPr>
        <w:pStyle w:val="NeniTitull"/>
        <w:rPr>
          <w:sz w:val="21"/>
          <w:szCs w:val="21"/>
        </w:rPr>
      </w:pPr>
      <w:r w:rsidRPr="00CC128C">
        <w:rPr>
          <w:sz w:val="21"/>
          <w:szCs w:val="21"/>
        </w:rPr>
        <w:t>Dispozitë kalimtare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>Ekipi përzgjedhës, brenda 2 javëve nga hyrja në fuqi e këtij ligji, verifikon përputhshmërinë e kritereve të bordit të komisionerëve të ERE-së me kriteret e përcaktuara në këtë ligj dhe, nëse nuk plotësohen kriteret, i propozon Kuvendit lirimin e tyre dhe emërimin në detyrë të personave, në përputhje me përcaktimet e nenit 4 të këtij ligji.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NeniNr"/>
        <w:rPr>
          <w:sz w:val="21"/>
          <w:szCs w:val="21"/>
        </w:rPr>
      </w:pPr>
      <w:r w:rsidRPr="00CC128C">
        <w:rPr>
          <w:sz w:val="21"/>
          <w:szCs w:val="21"/>
        </w:rPr>
        <w:t>Neni 10</w:t>
      </w:r>
    </w:p>
    <w:p w:rsidR="002E6A8F" w:rsidRPr="00CC128C" w:rsidRDefault="002E6A8F" w:rsidP="002E6A8F">
      <w:pPr>
        <w:pStyle w:val="NeniTitull"/>
        <w:rPr>
          <w:sz w:val="21"/>
          <w:szCs w:val="21"/>
        </w:rPr>
      </w:pPr>
      <w:r w:rsidRPr="00CC128C">
        <w:rPr>
          <w:sz w:val="21"/>
          <w:szCs w:val="21"/>
        </w:rPr>
        <w:t>Hyrja në fuqi</w:t>
      </w:r>
    </w:p>
    <w:p w:rsidR="002E6A8F" w:rsidRPr="00CC128C" w:rsidRDefault="002E6A8F" w:rsidP="002E6A8F">
      <w:pPr>
        <w:pStyle w:val="Paragrafi"/>
        <w:rPr>
          <w:sz w:val="21"/>
          <w:szCs w:val="21"/>
        </w:rPr>
      </w:pPr>
    </w:p>
    <w:p w:rsidR="002E6A8F" w:rsidRPr="00CC128C" w:rsidRDefault="002E6A8F" w:rsidP="002E6A8F">
      <w:pPr>
        <w:pStyle w:val="Paragrafi"/>
        <w:rPr>
          <w:sz w:val="21"/>
          <w:szCs w:val="21"/>
        </w:rPr>
      </w:pPr>
      <w:r w:rsidRPr="00CC128C">
        <w:rPr>
          <w:sz w:val="21"/>
          <w:szCs w:val="21"/>
        </w:rPr>
        <w:tab/>
        <w:t>Ky ligj hyn në fuqi 15 ditë pas botimit në Fletoren Zyrtare.</w:t>
      </w:r>
    </w:p>
    <w:p w:rsidR="002E6A8F" w:rsidRPr="00CC128C" w:rsidRDefault="002E6A8F" w:rsidP="002E6A8F">
      <w:pPr>
        <w:pStyle w:val="Paragrafi"/>
      </w:pPr>
    </w:p>
    <w:p w:rsidR="002E6A8F" w:rsidRPr="00CC128C" w:rsidRDefault="002E6A8F" w:rsidP="002E6A8F">
      <w:pPr>
        <w:pStyle w:val="Shpallja"/>
      </w:pPr>
      <w:r w:rsidRPr="00CC128C">
        <w:t>Shpallur me dekretin nr.</w:t>
      </w:r>
      <w:r>
        <w:t>4846</w:t>
      </w:r>
      <w:r w:rsidRPr="00CC128C">
        <w:t>, datë 25.4.2006 të Presidentit të Republikës së Shqipërisë, 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67CB4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6A8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886899-508F-45A1-A3E9-59624D2D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E6A8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E6A8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