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832" w:rsidRPr="00D11D0F" w:rsidRDefault="00CD1832" w:rsidP="00CD1832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D11D0F">
        <w:rPr>
          <w:sz w:val="21"/>
          <w:szCs w:val="21"/>
        </w:rPr>
        <w:t>L I G J</w:t>
      </w:r>
    </w:p>
    <w:p w:rsidR="00CD1832" w:rsidRPr="00D11D0F" w:rsidRDefault="00CD1832" w:rsidP="00CD1832">
      <w:pPr>
        <w:pStyle w:val="NumriData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>Nr.9515, datë 18.4.2006</w:t>
      </w:r>
    </w:p>
    <w:p w:rsidR="00CD1832" w:rsidRPr="003C3D18" w:rsidRDefault="00CD1832" w:rsidP="00CD1832">
      <w:pPr>
        <w:pStyle w:val="Paragrafi"/>
        <w:rPr>
          <w:sz w:val="16"/>
          <w:szCs w:val="21"/>
        </w:rPr>
      </w:pPr>
    </w:p>
    <w:p w:rsidR="00CD1832" w:rsidRPr="00D11D0F" w:rsidRDefault="00CD1832" w:rsidP="00CD1832">
      <w:pPr>
        <w:pStyle w:val="Titulli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>PËR ZBATIMIN E KONVENTËS “PËR NDALIMIN E PËRDORIMIT, TË MAGAZINIMIT, TË PRODHIMIT DHE TË TRANSFERIMIT TË MINAVE KUNDËR PERSONIT (MKP) DHE PËR SHKATËRRIMIN E TYRE”</w:t>
      </w:r>
    </w:p>
    <w:p w:rsidR="00CD1832" w:rsidRPr="003C3D18" w:rsidRDefault="00CD1832" w:rsidP="00CD1832">
      <w:pPr>
        <w:pStyle w:val="Paragrafi"/>
        <w:ind w:firstLine="0"/>
        <w:rPr>
          <w:sz w:val="18"/>
          <w:szCs w:val="21"/>
        </w:rPr>
      </w:pPr>
    </w:p>
    <w:p w:rsidR="00CD1832" w:rsidRPr="00D11D0F" w:rsidRDefault="00CD1832" w:rsidP="00CD1832">
      <w:pPr>
        <w:pStyle w:val="BazLigjPropozues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 xml:space="preserve">Në mbështetje të neneve 78, 83 pika 1 dhe 122 pika 1 të Kushtetutës, me propozimin e Këshillit të Ministrave, 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Institucioni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>K U V E N D I</w:t>
      </w:r>
    </w:p>
    <w:p w:rsidR="00CD1832" w:rsidRPr="00D11D0F" w:rsidRDefault="00CD1832" w:rsidP="00CD1832">
      <w:pPr>
        <w:pStyle w:val="Institucioni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>I REPUBLIKËS SË SHQIPËRISË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VENDOSI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>V E N D O S I:</w:t>
      </w:r>
    </w:p>
    <w:p w:rsidR="00CD1832" w:rsidRPr="003C3D18" w:rsidRDefault="00CD1832" w:rsidP="00CD1832">
      <w:pPr>
        <w:pStyle w:val="Paragrafi"/>
        <w:rPr>
          <w:sz w:val="12"/>
          <w:szCs w:val="21"/>
        </w:rPr>
      </w:pPr>
    </w:p>
    <w:p w:rsidR="00CD1832" w:rsidRPr="00D11D0F" w:rsidRDefault="00CD1832" w:rsidP="00CD1832">
      <w:pPr>
        <w:pStyle w:val="NeniNr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>Neni 1</w:t>
      </w:r>
    </w:p>
    <w:p w:rsidR="00CD1832" w:rsidRPr="00D11D0F" w:rsidRDefault="00CD1832" w:rsidP="00CD1832">
      <w:pPr>
        <w:pStyle w:val="NeniTitull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>Objekti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Ky ligj përcakton autoritetin, përgjegjësitë dhe funksionimin e organeve të nevojshme për zbatimin e detyrimeve, që rrjedhin nga Konventa “Për ndalimin e përdorimit, të magazinimit, të prodhimit dhe të transferimit të minave kundër personit (MKP) dhe për shkatërrimin e tyre” për Republikën e Shqipërisë, si shtet palë në këtë Konventë dhe që më poshtë do të quhet thjesht Konventë.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NeniNr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 xml:space="preserve">Neni 2 </w:t>
      </w:r>
    </w:p>
    <w:p w:rsidR="00CD1832" w:rsidRPr="00D11D0F" w:rsidRDefault="00CD1832" w:rsidP="00CD1832">
      <w:pPr>
        <w:pStyle w:val="NeniTitull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>Kompetencat e autoritetit shtetëror për zbatimin e Konventës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1. Ministri i Mbrojtjes është autoriteti shtetëror përgjegjës i Republikës së Shqipërisë për zbatimin e Konventës.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2. Autoriteti shtetëror bashkëpunon me të gjithë organizmat e vendit dhe ata ndërkombëtarë për zbatimin e plotë të Konventës.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3. Autoriteti shtetëror, në rast zbulimi të zonave të minuara ose të dyshuara si të minuara, urdhëron marrjen e masave për sigurimin, rrethimin apo vendosjen e shenjave të dukshme, si dhe njoftimin e paralajmërimin me çdo mënyrë të popullsisë civile në atë zonë.</w:t>
      </w:r>
    </w:p>
    <w:p w:rsidR="00CD1832" w:rsidRPr="003C3D18" w:rsidRDefault="00CD1832" w:rsidP="00CD1832">
      <w:pPr>
        <w:pStyle w:val="Paragrafi"/>
        <w:rPr>
          <w:sz w:val="16"/>
          <w:szCs w:val="21"/>
        </w:rPr>
      </w:pPr>
    </w:p>
    <w:p w:rsidR="00CD1832" w:rsidRPr="00D11D0F" w:rsidRDefault="00CD1832" w:rsidP="00CD1832">
      <w:pPr>
        <w:pStyle w:val="NeniNr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 xml:space="preserve">Neni 3 </w:t>
      </w:r>
    </w:p>
    <w:p w:rsidR="00CD1832" w:rsidRPr="00D11D0F" w:rsidRDefault="00CD1832" w:rsidP="00CD1832">
      <w:pPr>
        <w:pStyle w:val="NeniTitull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>Detyrimi për deklarimin e veprimtarisë dhe verifikimi nga autoriteti shtetëror</w:t>
      </w:r>
    </w:p>
    <w:p w:rsidR="00CD1832" w:rsidRPr="003C3D18" w:rsidRDefault="00CD1832" w:rsidP="00CD1832">
      <w:pPr>
        <w:pStyle w:val="Paragrafi"/>
        <w:rPr>
          <w:sz w:val="18"/>
          <w:szCs w:val="21"/>
        </w:rPr>
      </w:pP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 xml:space="preserve">1. Personi fizik ose juridik, </w:t>
      </w:r>
      <w:smartTag w:uri="urn:schemas-microsoft-com:office:smarttags" w:element="country-region">
        <w:smartTag w:uri="urn:schemas-microsoft-com:office:smarttags" w:element="place">
          <w:r w:rsidRPr="00D11D0F">
            <w:rPr>
              <w:sz w:val="21"/>
              <w:szCs w:val="21"/>
            </w:rPr>
            <w:t>vendas</w:t>
          </w:r>
        </w:smartTag>
      </w:smartTag>
      <w:r w:rsidRPr="00D11D0F">
        <w:rPr>
          <w:sz w:val="21"/>
          <w:szCs w:val="21"/>
        </w:rPr>
        <w:t xml:space="preserve"> ose i huaj, që kryen veprimtarinë e lejuar sipas pikës 2 të nenit 8 të këtij ligji, është i detyruar të paraqesë të dhëna për veprimtarinë që ushtron, nëpërmjet një deklarate vjetore, sipas formularit që lëshohet nga autoriteti shtetëror.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2. Personi fizik ose juridik, vendas ose i huaj, përveç të dhënave, në përputhje me pikën 1 të këtij neni, është i detyruar të japë çdo të dhënë tjetër për veprimtarinë që ushtron, nëse kjo veprimtari përmban elemente të fushës që mbulon Konventa, sa herë që i kërkohet nga autoriteti shtetëror, për të verifikuar nëse kjo veprimtari është në përputhje me kërkesat e Konventës dhe të këtij ligji.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NeniNr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 xml:space="preserve">Neni 4 </w:t>
      </w:r>
    </w:p>
    <w:p w:rsidR="00CD1832" w:rsidRPr="00D11D0F" w:rsidRDefault="00CD1832" w:rsidP="00CD1832">
      <w:pPr>
        <w:pStyle w:val="NeniTitull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>Inspektimi ndërkombëtar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 xml:space="preserve">Inspektimi ndërkombëtar kryhet nga inspektorët e Misionit të Vlerësimit të Organizatës së Kombeve të Bashkuara, në prani të një grupi shoqërues </w:t>
      </w:r>
      <w:smartTag w:uri="urn:schemas-microsoft-com:office:smarttags" w:element="country-region">
        <w:smartTag w:uri="urn:schemas-microsoft-com:office:smarttags" w:element="place">
          <w:r w:rsidRPr="00D11D0F">
            <w:rPr>
              <w:sz w:val="21"/>
              <w:szCs w:val="21"/>
            </w:rPr>
            <w:t>vendas</w:t>
          </w:r>
        </w:smartTag>
      </w:smartTag>
      <w:r w:rsidRPr="00D11D0F">
        <w:rPr>
          <w:sz w:val="21"/>
          <w:szCs w:val="21"/>
        </w:rPr>
        <w:t>, i cili kryesohet nga përfaqësuesi i autoritetit shtetëror.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NeniNr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 xml:space="preserve">Neni 5 </w:t>
      </w:r>
    </w:p>
    <w:p w:rsidR="00CD1832" w:rsidRPr="00D11D0F" w:rsidRDefault="00CD1832" w:rsidP="00CD1832">
      <w:pPr>
        <w:pStyle w:val="NeniTitull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>Bashkëpunimi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Subjektet, që zotërojnë ose dyshohet se zotërojnë mina kundër personit, të çdo lloji, janë të detyruara të lejojnë inspektimet dhe të bashkëpunojnë me inspektorët.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Subjektet vënë në dispozicion të ekipit të inspektimit ose të personit të autorizuar: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a) të gjitha të dhënat që u kërkohen për kryerjen e inspektimit;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lastRenderedPageBreak/>
        <w:t>b) pajisjet e telekomunikacionit, mjediset e punës, mjetet e transportit, të nevojshme për lëvizjet brenda këtyre mjediseve, për realizimin e inspektimit;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c) dokumentacionin përkatës për pjesët dhe objektet që inspektohen.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Gjithashtu, subjektet detyrohen: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i) të marrin masa sigurimi gjatë kryerjes së inspektimit (për mbrojtjen e jetës dhe të shëndetit të inspektorëve);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ii) të kontribuojnë në vlerësimin e rezultateve paraprake të inspektimit dhe në sqarimin e çështjeve të dyshimta.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NeniNr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>Neni 6</w:t>
      </w:r>
    </w:p>
    <w:p w:rsidR="00CD1832" w:rsidRPr="00D11D0F" w:rsidRDefault="00CD1832" w:rsidP="00CD1832">
      <w:pPr>
        <w:pStyle w:val="NeniTitull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>Kryerja e inspektimeve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Ekipet e Misionit të Vlerësimit të OKB-së në territorin e Republikës së Shqipërisë lejohen: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a) të hyjnë e të dalin lirisht, gjatë orarit normal të punës, në mjediset ku ndodhet objekti që po inspektohet;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b) të kryejnë të gjitha hetimet e nevojshme për inspektimin dhe të mbledhin të gjitha të dhënat e nevojshme për këtë qëllim, duke marrë në pyetje, kur është e domosdoshme, edhe personelin e objektit që inspektohet;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c) të kontrollojnë dokumentet, materialet, ambalazhimet dhe regjistrat e produkteve që ndodhen në objekt;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ç) të kërkojnë të dhëna për hyrje-daljet e të gjitha mjeteve të transportit, të cilat qarkullojnë në objektin që inspektohet.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NeniNr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 xml:space="preserve">Neni 7 </w:t>
      </w:r>
    </w:p>
    <w:p w:rsidR="00CD1832" w:rsidRPr="00D11D0F" w:rsidRDefault="00CD1832" w:rsidP="00CD1832">
      <w:pPr>
        <w:pStyle w:val="NeniTitull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>Përgjegjësitë e grupit të shoqërimit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Grupi i shoqërimit merr të gjitha masat e nevojshme për kryerjen e një inspektimi efikas dhe të befasishëm, pa cenuar interesat e pronarit ose të drejtuesit të objektit që inspektohet.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Grupi ka këto përgjegjësi: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a) krijon kushtet e nevojshme për inspektim;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b) mbron të dhënat e klasifikuara “Sekret shtetëror”, si dhe ruan konfidencialitetin;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c) bën klasifikimin e qartë të të gjitha të dhënave, që i vihen në dispozicion ekipit të inspektimit;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ç) merr vendime për vënien e të dhënave konfidenciale  në dispozicion të ekipit të inspektorëve, në përputhje me ligjin nr.8457 datë 11.2.1999 “Për informacionin e klasifikuar “Sekret shtetëror”” dhe me aktet nënligjore në fuqi;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d) zhvillon bisedime me ekipin e inspektimit për ndjekjen e procedurave të veçanta në rastet e parashikuara në pikën 14 të nenit 8 të Konventës.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NeniNr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 xml:space="preserve">Neni 8 </w:t>
      </w:r>
    </w:p>
    <w:p w:rsidR="00CD1832" w:rsidRPr="00D11D0F" w:rsidRDefault="00CD1832" w:rsidP="00CD1832">
      <w:pPr>
        <w:pStyle w:val="NeniTitull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>Veprimtaritë e ndaluara dhe përjashtimet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 xml:space="preserve">1. Personave fizikë dhe juridikë, </w:t>
      </w:r>
      <w:smartTag w:uri="urn:schemas-microsoft-com:office:smarttags" w:element="country-region">
        <w:smartTag w:uri="urn:schemas-microsoft-com:office:smarttags" w:element="place">
          <w:r w:rsidRPr="00D11D0F">
            <w:rPr>
              <w:sz w:val="21"/>
              <w:szCs w:val="21"/>
            </w:rPr>
            <w:t>vendas</w:t>
          </w:r>
        </w:smartTag>
      </w:smartTag>
      <w:r w:rsidRPr="00D11D0F">
        <w:rPr>
          <w:sz w:val="21"/>
          <w:szCs w:val="21"/>
        </w:rPr>
        <w:t xml:space="preserve"> ose të huaj, në të gjitha rastet u ndalohet: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a) të zhvillojnë, të prodhojnë, të blejnë, të magazinojnë dhe të zotërojnë mina kundër personit ose t'i transferojnë ato në mënyrë të drejtpërdrejtë ose të tërthortë te persona të tjerë;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b) të përdorin mina kundër personit;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c) të ndihmojnë, të nxisin ose të detyrojnë në çdo mënyrë persona të tjerë që të marrin pjesë në çdo veprimtari të ndaluar për një shtet nënshkrues të Konventës;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ç) të transferojnë ose të marrin nga shtetet, që nuk janë palë në Konventë, mina kundër personit.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2. Përpunimi, transferimi, përdorimi dhe magazinimi i minave kundër personit lejohen nëse veprimtaria ka qëllime: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 xml:space="preserve">a) </w:t>
      </w:r>
      <w:r w:rsidRPr="00D11D0F">
        <w:rPr>
          <w:sz w:val="21"/>
          <w:szCs w:val="21"/>
        </w:rPr>
        <w:t xml:space="preserve">stërvitjeje; 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b) pastrimi;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c) teknike, për shkatërrimin e minave.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3. Veprimtaria e lejuar sipas pikës 2 të këtij neni miratohet me urdhër të autoritetit shtetëror.</w:t>
      </w:r>
    </w:p>
    <w:p w:rsidR="00CD1832" w:rsidRPr="00D11D0F" w:rsidRDefault="00CD1832" w:rsidP="00CD1832">
      <w:pPr>
        <w:pStyle w:val="NeniNr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 xml:space="preserve">Neni 9 </w:t>
      </w:r>
    </w:p>
    <w:p w:rsidR="00CD1832" w:rsidRPr="00D11D0F" w:rsidRDefault="00CD1832" w:rsidP="00CD1832">
      <w:pPr>
        <w:pStyle w:val="NeniTitull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>Kundërvajtjet administrative dhe ekzekutimi i tyre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lastRenderedPageBreak/>
        <w:t>1. Shmangia nga detyrimet e Konventës dhe nga detyrimet e neneve 3 e 8 të këtij ligji, kur këto veprime nuk përmbajnë elemente të veprave penale, të parashikuara në nenet 278 dhe 278/a të Kodit Penal, përbën kundërvajtje administrative dhe dënohet me gjobë nga 100 000 (njëqind mijë) deri në 300 000 (treqind mijë) lekë.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2. Vënia e gjobave të parashikuara në pikën 1 të këtij neni bëhet nga organi i kontrollit, krijimi dhe funksionimi i të cilit bëhen me urdhër të autoritetit shtetëror.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3. Subjektet, të cilat gjobiten sipas këtij neni për kundërvajtje administrative, kanë të drejtën e ankimit pranë autoritetit shtetëror, i cili, për shqyrtimin e tyre, krijon një komision të posaçëm.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4. Shqyrtimi i kundërvajtjeve administrative, ankimi ndaj vendimeve të autoritetit shtetëror dhe ekzekutimi i gjobës bëhen në përputhje me dispozitat e ligjit nr.7687, datë 7.4.1993 “Për kundërvajtjet administrative”, të ndryshuar, me Kodin e Procedurave Administrative dhe me Kodin e Procedurës Civile.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NeniNr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 xml:space="preserve">Neni 10 </w:t>
      </w:r>
    </w:p>
    <w:p w:rsidR="00CD1832" w:rsidRPr="00D11D0F" w:rsidRDefault="00CD1832" w:rsidP="00CD1832">
      <w:pPr>
        <w:pStyle w:val="NeniTitull"/>
        <w:keepNext w:val="0"/>
        <w:rPr>
          <w:sz w:val="21"/>
          <w:szCs w:val="21"/>
        </w:rPr>
      </w:pPr>
      <w:r w:rsidRPr="00D11D0F">
        <w:rPr>
          <w:sz w:val="21"/>
          <w:szCs w:val="21"/>
        </w:rPr>
        <w:t>Nxjerrja e akteve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Ngarkohet Ministri i Mbrojtjes të nxjerrë aktet nënligjore në zbatim të neneve 8 dhe 9 të këtij ligji.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NeniNr"/>
      </w:pPr>
      <w:r w:rsidRPr="00D11D0F">
        <w:t xml:space="preserve">Neni 11 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D11D0F" w:rsidRDefault="00CD1832" w:rsidP="00CD1832">
      <w:pPr>
        <w:pStyle w:val="Paragrafi"/>
        <w:rPr>
          <w:sz w:val="21"/>
          <w:szCs w:val="21"/>
        </w:rPr>
      </w:pPr>
      <w:r w:rsidRPr="00D11D0F">
        <w:rPr>
          <w:sz w:val="21"/>
          <w:szCs w:val="21"/>
        </w:rPr>
        <w:t>Ky ligj hyn në fuqi 15 ditë pas botimit në Fletoren Zyrtare.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CD1832" w:rsidRPr="00A22EE3" w:rsidRDefault="00CD1832" w:rsidP="00CD1832">
      <w:pPr>
        <w:pStyle w:val="Shpallja"/>
        <w:rPr>
          <w:sz w:val="23"/>
          <w:szCs w:val="23"/>
        </w:rPr>
      </w:pPr>
      <w:r w:rsidRPr="00A22EE3">
        <w:rPr>
          <w:sz w:val="23"/>
          <w:szCs w:val="23"/>
        </w:rPr>
        <w:t>Shpallur me dekretin nr.4857, datë 10.5.2006 të Presidentit të Republikës së Shqipërisë, Alfred Moisiu</w:t>
      </w:r>
    </w:p>
    <w:p w:rsidR="00CD1832" w:rsidRPr="00D11D0F" w:rsidRDefault="00CD1832" w:rsidP="00CD1832">
      <w:pPr>
        <w:pStyle w:val="Paragrafi"/>
        <w:rPr>
          <w:sz w:val="21"/>
          <w:szCs w:val="21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6302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D1832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F5E2BFE-4535-4A89-983A-5B8DD0DA1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CD1832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2019-03-16T13:39:00Z</dcterms:created>
  <dcterms:modified xsi:type="dcterms:W3CDTF">2019-03-16T13:39:00Z</dcterms:modified>
</cp:coreProperties>
</file>