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2B" w:rsidRPr="00ED00CA" w:rsidRDefault="004C3F2B" w:rsidP="004C3F2B">
      <w:pPr>
        <w:pStyle w:val="Akti"/>
        <w:rPr>
          <w:rFonts w:eastAsia="Arial Unicode MS"/>
        </w:rPr>
      </w:pPr>
      <w:bookmarkStart w:id="0" w:name="_GoBack"/>
      <w:bookmarkEnd w:id="0"/>
      <w:r>
        <w:t>LIG</w:t>
      </w:r>
      <w:r w:rsidRPr="00ED00CA">
        <w:t>J</w:t>
      </w:r>
    </w:p>
    <w:p w:rsidR="004C3F2B" w:rsidRPr="00ED00CA" w:rsidRDefault="004C3F2B" w:rsidP="004C3F2B">
      <w:pPr>
        <w:pStyle w:val="NumriData"/>
        <w:rPr>
          <w:rFonts w:eastAsia="Arial Unicode MS"/>
          <w:szCs w:val="22"/>
        </w:rPr>
      </w:pPr>
      <w:r w:rsidRPr="00ED00CA">
        <w:rPr>
          <w:szCs w:val="22"/>
        </w:rPr>
        <w:t>Nr.9630, datë 30.10.2006</w:t>
      </w:r>
    </w:p>
    <w:p w:rsidR="004C3F2B" w:rsidRPr="00ED00CA" w:rsidRDefault="004C3F2B" w:rsidP="004C3F2B">
      <w:pPr>
        <w:pStyle w:val="Paragrafi"/>
        <w:rPr>
          <w:szCs w:val="22"/>
          <w:lang w:val="it-IT"/>
        </w:rPr>
      </w:pPr>
      <w:r w:rsidRPr="00ED00CA">
        <w:rPr>
          <w:szCs w:val="22"/>
          <w:lang w:val="it-IT"/>
        </w:rPr>
        <w:t xml:space="preserve"> </w:t>
      </w:r>
    </w:p>
    <w:p w:rsidR="004C3F2B" w:rsidRPr="00ED00CA" w:rsidRDefault="004C3F2B" w:rsidP="004C3F2B">
      <w:pPr>
        <w:pStyle w:val="Titulli"/>
      </w:pPr>
      <w:r w:rsidRPr="00ED00CA">
        <w:t>PËR  FAKTORINGUN</w:t>
      </w:r>
    </w:p>
    <w:p w:rsidR="004C3F2B" w:rsidRPr="00ED00CA" w:rsidRDefault="004C3F2B" w:rsidP="004C3F2B">
      <w:pPr>
        <w:pStyle w:val="Paragrafi"/>
        <w:rPr>
          <w:bCs/>
          <w:szCs w:val="22"/>
          <w:lang w:val="it-IT"/>
        </w:rPr>
      </w:pPr>
    </w:p>
    <w:p w:rsidR="004C3F2B" w:rsidRPr="009B0172" w:rsidRDefault="004C3F2B" w:rsidP="004C3F2B">
      <w:pPr>
        <w:pStyle w:val="Paragrafi"/>
        <w:rPr>
          <w:szCs w:val="22"/>
          <w:lang w:val="it-IT"/>
        </w:rPr>
      </w:pPr>
      <w:r w:rsidRPr="009B0172">
        <w:rPr>
          <w:szCs w:val="22"/>
          <w:lang w:val="it-IT"/>
        </w:rPr>
        <w:t xml:space="preserve">Në mbështetje të neneve 78 dhe 83 pika 1 të Kushtetutës, me propozimin e Këshillit të Ministrave, </w:t>
      </w:r>
    </w:p>
    <w:p w:rsidR="004C3F2B" w:rsidRPr="009B0172" w:rsidRDefault="004C3F2B" w:rsidP="004C3F2B">
      <w:pPr>
        <w:pStyle w:val="Paragrafi"/>
        <w:rPr>
          <w:szCs w:val="22"/>
          <w:lang w:val="it-IT"/>
        </w:rPr>
      </w:pPr>
    </w:p>
    <w:p w:rsidR="004C3F2B" w:rsidRPr="00937FB9" w:rsidRDefault="004C3F2B" w:rsidP="004C3F2B">
      <w:pPr>
        <w:pStyle w:val="Institucioni"/>
        <w:rPr>
          <w:lang w:val="it-IT"/>
        </w:rPr>
      </w:pPr>
      <w:r w:rsidRPr="00937FB9">
        <w:rPr>
          <w:lang w:val="it-IT"/>
        </w:rPr>
        <w:t xml:space="preserve">KUVENDI </w:t>
      </w:r>
    </w:p>
    <w:p w:rsidR="004C3F2B" w:rsidRPr="00937FB9" w:rsidRDefault="004C3F2B" w:rsidP="004C3F2B">
      <w:pPr>
        <w:pStyle w:val="Institucioni"/>
        <w:rPr>
          <w:lang w:val="it-IT"/>
        </w:rPr>
      </w:pPr>
      <w:r w:rsidRPr="00937FB9">
        <w:rPr>
          <w:lang w:val="it-IT"/>
        </w:rPr>
        <w:t>I REPUBLIKËS SË SHQIPËRISË</w:t>
      </w:r>
    </w:p>
    <w:p w:rsidR="004C3F2B" w:rsidRPr="00ED00CA" w:rsidRDefault="004C3F2B" w:rsidP="004C3F2B">
      <w:pPr>
        <w:pStyle w:val="Paragrafi"/>
        <w:rPr>
          <w:b/>
          <w:szCs w:val="22"/>
          <w:lang w:val="it-IT"/>
        </w:rPr>
      </w:pPr>
    </w:p>
    <w:p w:rsidR="004C3F2B" w:rsidRPr="00937FB9" w:rsidRDefault="004C3F2B" w:rsidP="004C3F2B">
      <w:pPr>
        <w:pStyle w:val="VENDOSI"/>
        <w:rPr>
          <w:lang w:val="it-IT"/>
        </w:rPr>
      </w:pPr>
      <w:r w:rsidRPr="00937FB9">
        <w:rPr>
          <w:lang w:val="it-IT"/>
        </w:rPr>
        <w:t>VENDOSI:</w:t>
      </w:r>
    </w:p>
    <w:p w:rsidR="004C3F2B" w:rsidRPr="00ED00CA" w:rsidRDefault="004C3F2B" w:rsidP="004C3F2B">
      <w:pPr>
        <w:pStyle w:val="Paragrafi"/>
        <w:rPr>
          <w:bCs/>
          <w:szCs w:val="22"/>
          <w:lang w:val="it-IT"/>
        </w:rPr>
      </w:pPr>
    </w:p>
    <w:p w:rsidR="004C3F2B" w:rsidRPr="00ED00CA" w:rsidRDefault="004C3F2B" w:rsidP="004C3F2B">
      <w:pPr>
        <w:pStyle w:val="KreuNr"/>
      </w:pPr>
      <w:r w:rsidRPr="00ED00CA">
        <w:t>KREU I</w:t>
      </w:r>
    </w:p>
    <w:p w:rsidR="004C3F2B" w:rsidRPr="00ED00CA" w:rsidRDefault="004C3F2B" w:rsidP="004C3F2B">
      <w:pPr>
        <w:pStyle w:val="KapitulliTitull"/>
      </w:pPr>
      <w:r w:rsidRPr="00ED00CA">
        <w:t>DISPOZITA TË PËRGJITHSHME</w:t>
      </w:r>
    </w:p>
    <w:p w:rsidR="004C3F2B" w:rsidRPr="00ED00CA" w:rsidRDefault="004C3F2B" w:rsidP="004C3F2B">
      <w:pPr>
        <w:pStyle w:val="Paragrafi"/>
        <w:rPr>
          <w:bCs/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</w:t>
      </w:r>
    </w:p>
    <w:p w:rsidR="004C3F2B" w:rsidRPr="00ED00CA" w:rsidRDefault="004C3F2B" w:rsidP="004C3F2B">
      <w:pPr>
        <w:pStyle w:val="NeniTitull"/>
      </w:pPr>
      <w:r w:rsidRPr="00ED00CA">
        <w:t>Qëllimi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ED00CA">
        <w:rPr>
          <w:szCs w:val="22"/>
        </w:rPr>
        <w:t>Ky ligj ka për qëllim të rregullojë marrëdhëniet e palëve në një kontratë faktoring si dhe kalimin e kredive të llogarisë klient.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ED00CA">
        <w:rPr>
          <w:szCs w:val="22"/>
        </w:rPr>
        <w:t>Për ato çështje që nuk rregullohen nga ky ligj, palët e kontratës faktoring d</w:t>
      </w:r>
      <w:r>
        <w:rPr>
          <w:szCs w:val="22"/>
        </w:rPr>
        <w:t>he marrëdhëniet juridike, që</w:t>
      </w:r>
      <w:r w:rsidRPr="00ED00CA">
        <w:rPr>
          <w:rFonts w:cs="CG Times"/>
          <w:szCs w:val="22"/>
        </w:rPr>
        <w:t xml:space="preserve"> lindin ndërmjet tyre, do t’u nënshtrohen dispozitave përkatëse të legjislacionit në fuqi. </w:t>
      </w:r>
    </w:p>
    <w:p w:rsidR="004C3F2B" w:rsidRPr="004B6A6C" w:rsidRDefault="004C3F2B" w:rsidP="004C3F2B">
      <w:pPr>
        <w:pStyle w:val="Paragrafi"/>
        <w:rPr>
          <w:bCs/>
          <w:sz w:val="18"/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2</w:t>
      </w:r>
    </w:p>
    <w:p w:rsidR="004C3F2B" w:rsidRPr="00ED00CA" w:rsidRDefault="004C3F2B" w:rsidP="004C3F2B">
      <w:pPr>
        <w:pStyle w:val="NeniTitull"/>
      </w:pPr>
      <w:r w:rsidRPr="00ED00CA">
        <w:t>Kontrata faktoring</w:t>
      </w:r>
    </w:p>
    <w:p w:rsidR="004C3F2B" w:rsidRPr="004B6A6C" w:rsidRDefault="004C3F2B" w:rsidP="004C3F2B">
      <w:pPr>
        <w:pStyle w:val="Paragrafi"/>
        <w:rPr>
          <w:b/>
          <w:sz w:val="18"/>
          <w:szCs w:val="22"/>
        </w:rPr>
      </w:pPr>
    </w:p>
    <w:p w:rsidR="004C3F2B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ED00CA">
        <w:rPr>
          <w:szCs w:val="22"/>
        </w:rPr>
        <w:t>Kontrata faktoring, për qëllimin e këtij ligji, quhet kontrata e lidhur me shkrim ndërmjet furnizuesit dhe faktorit, nëpërmjet së cilës: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ED00CA">
        <w:rPr>
          <w:szCs w:val="22"/>
        </w:rPr>
        <w:t>furnizuesi mund t’i shesë apo i shet faktorit kredi të llogarisë klient, që ekzistojnë në çastin e lidhjes së kontratës faktoring dhe/ose që mund të krijohen më pas, të cilat kanë lindur dhe/ose do të lindin nga kontrata për shitjen e sendeve dhe/ose shërbimeve, të lidhura ndërmjet furnizuesit dhe klientëve të tij, debitorëve, duke përjashtuar ato për shitjen e sendeve dhe/ose shërbimeve, që blihen për përdorim personal, familjar ose shtëpiak;</w:t>
      </w:r>
    </w:p>
    <w:p w:rsidR="004C3F2B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b) </w:t>
      </w:r>
      <w:r w:rsidRPr="00ED00CA">
        <w:rPr>
          <w:szCs w:val="22"/>
        </w:rPr>
        <w:t>faktori kryen të paktën dy nga veprimet e mëposhtme: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i) financon furnizuesin, duke përfshirë parapagimet;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ii) mban llogaritë, që lidhen me kreditë e llogarisë klient;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iii) mbledh kreditë e llogarisë klient;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iv) mbron furnizuesin nga paaftësia paguese e debitorëve, si pasojë e pamundësisë së tyre financiare për të paguar;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c) </w:t>
      </w:r>
      <w:r w:rsidRPr="00ED00CA">
        <w:rPr>
          <w:szCs w:val="22"/>
        </w:rPr>
        <w:t>debitori duhet të njoftohet për kalimin e kredive të llogarisë klient.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ED00CA">
        <w:rPr>
          <w:szCs w:val="22"/>
        </w:rPr>
        <w:t>Kontrata faktoring lidhet si për kredi vendase, ashtu edhe për kredi ndërkombëtare.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3. </w:t>
      </w:r>
      <w:r w:rsidRPr="00ED00CA">
        <w:rPr>
          <w:szCs w:val="22"/>
        </w:rPr>
        <w:t>Kontrata faktoring nuk është kontratë huaje apo kontratë për transferimin e kredive të llogarisë klient, që lidhet vetëm për të lehtësuar mbledhjen e llogarive.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4. </w:t>
      </w:r>
      <w:r w:rsidRPr="00ED00CA">
        <w:rPr>
          <w:szCs w:val="22"/>
        </w:rPr>
        <w:t>Në kuptim  të këtij ligji, kontrata, ku faktori dhe furnizuesi janë i njëjti subjekt, nuk është kontratë faktoring.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lastRenderedPageBreak/>
        <w:t>Neni 3</w:t>
      </w:r>
    </w:p>
    <w:p w:rsidR="004C3F2B" w:rsidRPr="00ED00CA" w:rsidRDefault="004C3F2B" w:rsidP="004C3F2B">
      <w:pPr>
        <w:pStyle w:val="NeniTitull"/>
      </w:pPr>
      <w:r w:rsidRPr="00ED00CA">
        <w:t>Objekti i kontratës faktoring, kreditë ekzistuese dhe/ose të ardhshme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ED00CA">
        <w:rPr>
          <w:szCs w:val="22"/>
        </w:rPr>
        <w:t>Objekt i kontratës faktoring janë kreditë ekzistuese dhe/ose të ardhshme të llogarisë klient, të cilat kanë lindur dhe/ose do të lindin nga shitja e sendeve dhe/ose shërbimeve nga furnizuesi te klienti (debitori). Kreditë e llogarisë klient, objekt i kontratës faktoring, mund të jenë vendase ose ndërkombëtare.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ED00CA">
        <w:rPr>
          <w:szCs w:val="22"/>
        </w:rPr>
        <w:t>Kreditë e llogarisë klient mund të kalohen edhe përpara lidhjes së kontratave nga të cilat ato do të rrjedhin. Kreditë e llogarisë klient, qofshin ekzistuese apo të ardhshme, mund të kalohen në tërësi.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3. </w:t>
      </w:r>
      <w:r w:rsidRPr="00ED00CA">
        <w:rPr>
          <w:szCs w:val="22"/>
        </w:rPr>
        <w:t>Kalimi në tërësi i kredive të ardhshme të llogarisë klient mund të bëhet vetëm për kreditë që rrjedhin nga kontrata, të cilat lidhen brenda një afati maksimal njëzet e katër muaj nga data lidhjes së kontratës faktoring.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4. </w:t>
      </w:r>
      <w:r w:rsidRPr="00ED00CA">
        <w:rPr>
          <w:szCs w:val="22"/>
        </w:rPr>
        <w:t>Dispozitat e kontratës faktoring janë të vlefshme edhe kur nuk identifikojnë individualisht kreditë, ekzistuese ose të ardhshme, të llogarisë klient, objekt i kontratës faktoring, nëse këto kredi identifikohen në kontratën faktoring në kohën e lidhjes së saj ose në kohën e lindjes së këtyre kredive.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5. </w:t>
      </w:r>
      <w:r w:rsidRPr="00ED00CA">
        <w:rPr>
          <w:szCs w:val="22"/>
        </w:rPr>
        <w:t>Dispozitat e kontratës faktoring, që parashikojnë kalimin e kredive të ardhshme të llogarisë klient te faktori, zbatohen menjëherë, në çastin kur lindin kreditë në fjalë, pa qenë i nevojshëm nënshkrimi i një kontrate të re, për realizimin e kalimit të kredive të llogarisë klient.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6. </w:t>
      </w:r>
      <w:r w:rsidRPr="00ED00CA">
        <w:rPr>
          <w:szCs w:val="22"/>
        </w:rPr>
        <w:t xml:space="preserve">Lidhja nga furnizuesi me më shumë se një faktor e kontratave të përcaktuara në nenin 2 të këtij ligji, të cilat kanë objekt të njëjtat kredi të llogarisë klient, për të njëjtin debitor, është e ndaluar. Këto kontrata kur lidhen janë të pavlefshme. Shkelja e kësaj dispozite, kur përbën vepër penale, dënohet sipas dispozitave të Kodit Penal. </w:t>
      </w:r>
    </w:p>
    <w:p w:rsidR="004C3F2B" w:rsidRPr="00ED00CA" w:rsidRDefault="004C3F2B" w:rsidP="004C3F2B">
      <w:pPr>
        <w:pStyle w:val="Paragrafi"/>
        <w:rPr>
          <w:b/>
          <w:szCs w:val="22"/>
        </w:rPr>
      </w:pPr>
      <w:r w:rsidRPr="00ED00CA">
        <w:rPr>
          <w:szCs w:val="22"/>
        </w:rPr>
        <w:t>Lidhja e kontratave faktoring nuk është e kundërligjshme, nëse faktorët e lartpërmendur kanë rënë dakord për lidhjen e këtyre kontratave.</w:t>
      </w:r>
    </w:p>
    <w:p w:rsidR="004C3F2B" w:rsidRPr="00ED00CA" w:rsidRDefault="004C3F2B" w:rsidP="004C3F2B">
      <w:pPr>
        <w:pStyle w:val="Paragrafi"/>
        <w:ind w:firstLine="0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4</w:t>
      </w:r>
    </w:p>
    <w:p w:rsidR="004C3F2B" w:rsidRPr="00FF2018" w:rsidRDefault="004C3F2B" w:rsidP="004C3F2B">
      <w:pPr>
        <w:pStyle w:val="NeniTitull"/>
      </w:pPr>
      <w:r w:rsidRPr="00FF2018">
        <w:t>Kontrata e lidhur midis faktorit dhe furnizuesit</w:t>
      </w:r>
    </w:p>
    <w:p w:rsidR="004C3F2B" w:rsidRPr="00FF2018" w:rsidRDefault="004C3F2B" w:rsidP="004C3F2B">
      <w:pPr>
        <w:pStyle w:val="Paragrafi"/>
        <w:rPr>
          <w:szCs w:val="22"/>
          <w:lang w:val="it-IT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Shitja e kredive të llogarisë klient nga furnizuesi te faktori ka përparësi dhe është e vlefshme pavarësisht nga ndonjë kontratë apo marrëveshje e lidhur ndërmjet furnizuesit dhe debitorit, e cila ndalon kalimin e kredive.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5</w:t>
      </w:r>
    </w:p>
    <w:p w:rsidR="004C3F2B" w:rsidRPr="00ED00CA" w:rsidRDefault="004C3F2B" w:rsidP="004C3F2B">
      <w:pPr>
        <w:pStyle w:val="NeniTitull"/>
      </w:pPr>
      <w:r w:rsidRPr="00ED00CA">
        <w:t>Llojet e kontratës faktoring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Kontrata faktoring përfshin këto lloje:</w:t>
      </w:r>
    </w:p>
    <w:p w:rsidR="004C3F2B" w:rsidRPr="00FF2018" w:rsidRDefault="004C3F2B" w:rsidP="004C3F2B">
      <w:pPr>
        <w:pStyle w:val="Paragrafi"/>
        <w:rPr>
          <w:szCs w:val="22"/>
          <w:lang w:val="it-IT"/>
        </w:rPr>
      </w:pPr>
      <w:r w:rsidRPr="00FF2018">
        <w:rPr>
          <w:szCs w:val="22"/>
          <w:lang w:val="it-IT"/>
        </w:rPr>
        <w:t xml:space="preserve"> a) faktoring vendas, eksporti ose importi;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FF2018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b) </w:t>
      </w:r>
      <w:r w:rsidRPr="00FF2018">
        <w:rPr>
          <w:szCs w:val="22"/>
          <w:lang w:val="it-IT"/>
        </w:rPr>
        <w:t xml:space="preserve">faktoring pa garanci, ku furnizuesi nuk garanton faktorin për aftësinë paguese të debitorit. </w:t>
      </w:r>
      <w:r w:rsidRPr="00ED00CA">
        <w:rPr>
          <w:szCs w:val="22"/>
        </w:rPr>
        <w:t xml:space="preserve">Megjithatë, furnizuesi mbetet përgjegjës dhe i detyruar kundrejt faktorit, nëse për çfarëdolloj arsyeje, të ndryshme nga paaftësia paguese, debitori nuk paguan tërësisht kredinë e llogarisë klient; </w:t>
      </w:r>
    </w:p>
    <w:p w:rsidR="004C3F2B" w:rsidRPr="00FF2018" w:rsidRDefault="004C3F2B" w:rsidP="004C3F2B">
      <w:pPr>
        <w:pStyle w:val="Paragrafi"/>
        <w:rPr>
          <w:szCs w:val="22"/>
          <w:lang w:val="it-IT"/>
        </w:rPr>
      </w:pPr>
      <w:r w:rsidRPr="00FF2018">
        <w:rPr>
          <w:szCs w:val="22"/>
          <w:lang w:val="it-IT"/>
        </w:rPr>
        <w:t xml:space="preserve"> c) faktoring me garanci, ku furnizuesi garanton plotësisht faktorin për pagimin e kredisë së llogarisë klient nga debitori.</w:t>
      </w:r>
    </w:p>
    <w:p w:rsidR="004C3F2B" w:rsidRPr="00FF2018" w:rsidRDefault="004C3F2B" w:rsidP="004C3F2B">
      <w:pPr>
        <w:pStyle w:val="Paragrafi"/>
        <w:rPr>
          <w:szCs w:val="22"/>
          <w:lang w:val="it-IT"/>
        </w:rPr>
      </w:pPr>
    </w:p>
    <w:p w:rsidR="004C3F2B" w:rsidRPr="00ED00CA" w:rsidRDefault="004C3F2B" w:rsidP="004C3F2B">
      <w:pPr>
        <w:pStyle w:val="NeniNr"/>
      </w:pPr>
      <w:r w:rsidRPr="00ED00CA">
        <w:t>Neni 6</w:t>
      </w:r>
    </w:p>
    <w:p w:rsidR="004C3F2B" w:rsidRPr="00ED00CA" w:rsidRDefault="004C3F2B" w:rsidP="004C3F2B">
      <w:pPr>
        <w:pStyle w:val="NeniTitull"/>
      </w:pPr>
      <w:r w:rsidRPr="00ED00CA">
        <w:t>Njoftimi i debitorit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1. Faktori ose furnizuesi njofton debitorin </w:t>
      </w:r>
      <w:r>
        <w:rPr>
          <w:rFonts w:eastAsia="SimSun"/>
          <w:szCs w:val="22"/>
        </w:rPr>
        <w:t>me shkrim, përfshirë faksin, mesazhet e dërguara me postë</w:t>
      </w:r>
      <w:r w:rsidRPr="00ED00CA">
        <w:rPr>
          <w:rFonts w:eastAsia="SimSun"/>
          <w:szCs w:val="22"/>
        </w:rPr>
        <w:t xml:space="preserve"> elektronike</w:t>
      </w:r>
      <w:r>
        <w:rPr>
          <w:rFonts w:eastAsia="SimSun"/>
          <w:szCs w:val="22"/>
        </w:rPr>
        <w:t xml:space="preserve"> dhe çdo lloj telekomunikimi, që</w:t>
      </w:r>
      <w:r w:rsidRPr="00ED00CA">
        <w:rPr>
          <w:rFonts w:eastAsia="SimSun" w:cs="CG Times"/>
          <w:szCs w:val="22"/>
        </w:rPr>
        <w:t xml:space="preserve"> mund t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 xml:space="preserve"> riprodhohet n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 xml:space="preserve"> m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>nyr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 xml:space="preserve"> t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 xml:space="preserve"> </w:t>
      </w:r>
      <w:r w:rsidRPr="00ED00CA">
        <w:rPr>
          <w:rFonts w:eastAsia="SimSun" w:cs="CG Times"/>
          <w:szCs w:val="22"/>
        </w:rPr>
        <w:lastRenderedPageBreak/>
        <w:t>prekshme. Njoftimi vler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>sohet i realizuar kur i ka mb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>rritur marr</w:t>
      </w:r>
      <w:r>
        <w:rPr>
          <w:rFonts w:eastAsia="SimSun"/>
          <w:szCs w:val="22"/>
        </w:rPr>
        <w:t>ë</w:t>
      </w:r>
      <w:r w:rsidRPr="00ED00CA">
        <w:rPr>
          <w:rFonts w:eastAsia="SimSun" w:cs="CG Times"/>
          <w:szCs w:val="22"/>
        </w:rPr>
        <w:t>sit</w:t>
      </w:r>
      <w:r w:rsidRPr="00ED00CA">
        <w:rPr>
          <w:szCs w:val="22"/>
        </w:rPr>
        <w:t>.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2. Përmbajtja e njoftimit përfshin deklarimin e ekzistencës së kontratës faktoring, të lidhur ndërmjet faktorit dhe furnizuesit, si dhe identifikimin e faktorit dhe të kredive të llogarisë klient, që janë objekt i kontratës faktoring.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3. </w:t>
      </w:r>
      <w:r w:rsidRPr="00ED00CA">
        <w:rPr>
          <w:szCs w:val="22"/>
        </w:rPr>
        <w:t>Njoftimi kryhet brenda një afati të përcaktuar në kontratën faktoring.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7</w:t>
      </w:r>
    </w:p>
    <w:p w:rsidR="004C3F2B" w:rsidRPr="00ED00CA" w:rsidRDefault="004C3F2B" w:rsidP="004C3F2B">
      <w:pPr>
        <w:pStyle w:val="NeniTitull"/>
      </w:pPr>
      <w:r w:rsidRPr="00ED00CA">
        <w:t>Mbarimi i kontratës faktoring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Kontrata faktoring mbaron me përfundimin e afatit kohor, për të cilin ajo është lidhur. Nëse kohëzgjatja nuk është përcaktuar, kontrata faktoring përfundon pasi të jenë shlyer plotësisht të gjitha kreditë e llogarisë klient, të transferuara nëpërmjet kësaj kontrate. </w:t>
      </w:r>
    </w:p>
    <w:p w:rsidR="004C3F2B" w:rsidRDefault="004C3F2B" w:rsidP="004C3F2B">
      <w:pPr>
        <w:pStyle w:val="Paragrafi"/>
        <w:rPr>
          <w:b/>
          <w:bCs/>
          <w:szCs w:val="22"/>
        </w:rPr>
      </w:pPr>
    </w:p>
    <w:p w:rsidR="004C3F2B" w:rsidRPr="00ED00CA" w:rsidRDefault="004C3F2B" w:rsidP="004C3F2B">
      <w:pPr>
        <w:pStyle w:val="KapitulliNr"/>
      </w:pPr>
      <w:r w:rsidRPr="00ED00CA">
        <w:t>KREU II</w:t>
      </w:r>
    </w:p>
    <w:p w:rsidR="004C3F2B" w:rsidRPr="00ED00CA" w:rsidRDefault="004C3F2B" w:rsidP="004C3F2B">
      <w:pPr>
        <w:pStyle w:val="KapitulliTitull"/>
      </w:pPr>
      <w:r w:rsidRPr="00ED00CA">
        <w:t>TË DREJTAT DHE DETYRIMET E PALËVE NË TRANSAKSIONET FAKTORING</w:t>
      </w:r>
    </w:p>
    <w:p w:rsidR="004C3F2B" w:rsidRPr="00ED00CA" w:rsidRDefault="004C3F2B" w:rsidP="004C3F2B">
      <w:pPr>
        <w:pStyle w:val="Paragrafi"/>
        <w:rPr>
          <w:b/>
          <w:bCs/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8</w:t>
      </w:r>
    </w:p>
    <w:p w:rsidR="004C3F2B" w:rsidRPr="00ED00CA" w:rsidRDefault="004C3F2B" w:rsidP="004C3F2B">
      <w:pPr>
        <w:pStyle w:val="NeniTitull"/>
      </w:pPr>
      <w:r w:rsidRPr="00ED00CA">
        <w:t>Palët në transaksion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Palët pjesëmarrëse në transaksionet faktoring janë faktori, furnizuesi dhe debitori.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Default="004C3F2B" w:rsidP="004C3F2B">
      <w:pPr>
        <w:pStyle w:val="NeniNr"/>
      </w:pPr>
      <w:r w:rsidRPr="00ED00CA">
        <w:t>Neni 9</w:t>
      </w:r>
    </w:p>
    <w:p w:rsidR="004C3F2B" w:rsidRPr="00FF2018" w:rsidRDefault="004C3F2B" w:rsidP="004C3F2B">
      <w:pPr>
        <w:pStyle w:val="NeniTitull"/>
        <w:rPr>
          <w:bCs/>
        </w:rPr>
      </w:pPr>
      <w:r w:rsidRPr="00ED00CA">
        <w:t>Faktori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 Faktori është person juridik, i cili ofron shërbimet </w:t>
      </w:r>
      <w:r>
        <w:rPr>
          <w:szCs w:val="22"/>
        </w:rPr>
        <w:t>e përmendura në shkronjën “b” të pikë</w:t>
      </w:r>
      <w:r w:rsidRPr="00ED00CA">
        <w:rPr>
          <w:szCs w:val="22"/>
        </w:rPr>
        <w:t>s 1 të nenit 2  të këtij ligji kundrejt shpërblimit, që mund të jetë një shumë e përcaktuar dhe/ose normë interesi, për një periudhë kohore të caktuar me marrëveshjen e palëve.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10</w:t>
      </w:r>
    </w:p>
    <w:p w:rsidR="004C3F2B" w:rsidRDefault="004C3F2B" w:rsidP="004C3F2B">
      <w:pPr>
        <w:pStyle w:val="NeniTitull"/>
      </w:pPr>
      <w:r w:rsidRPr="00ED00CA">
        <w:t>Subjektet që mund të kryejnë veprimtari faktoring</w:t>
      </w:r>
    </w:p>
    <w:p w:rsidR="004C3F2B" w:rsidRDefault="004C3F2B" w:rsidP="004C3F2B">
      <w:pPr>
        <w:pStyle w:val="NeniTitull"/>
      </w:pPr>
    </w:p>
    <w:p w:rsidR="004C3F2B" w:rsidRPr="00FF2018" w:rsidRDefault="004C3F2B" w:rsidP="004C3F2B">
      <w:pPr>
        <w:pStyle w:val="NeniTitull"/>
        <w:ind w:firstLine="720"/>
        <w:jc w:val="left"/>
        <w:rPr>
          <w:b w:val="0"/>
        </w:rPr>
      </w:pPr>
      <w:r>
        <w:rPr>
          <w:b w:val="0"/>
        </w:rPr>
        <w:t>1. Mund të kryejnë</w:t>
      </w:r>
      <w:r w:rsidRPr="00FF2018">
        <w:rPr>
          <w:b w:val="0"/>
        </w:rPr>
        <w:t xml:space="preserve"> veprimtari faktoring vetëm subjektet e mëposhtme: </w:t>
      </w:r>
    </w:p>
    <w:p w:rsidR="004C3F2B" w:rsidRPr="00FF2018" w:rsidRDefault="004C3F2B" w:rsidP="004C3F2B">
      <w:pPr>
        <w:pStyle w:val="Paragrafi"/>
        <w:rPr>
          <w:szCs w:val="22"/>
        </w:rPr>
      </w:pPr>
      <w:r w:rsidRPr="00FF2018">
        <w:rPr>
          <w:szCs w:val="22"/>
        </w:rPr>
        <w:t>a) bankat dhe institucionet financiare jobankare, të th</w:t>
      </w:r>
      <w:r>
        <w:rPr>
          <w:szCs w:val="22"/>
        </w:rPr>
        <w:t>emeluara sipas legjislacionit në</w:t>
      </w:r>
      <w:r w:rsidRPr="00FF2018">
        <w:rPr>
          <w:szCs w:val="22"/>
        </w:rPr>
        <w:t xml:space="preserve"> fuqi, që veprojnë në Republikën e Shqipërisë;</w:t>
      </w:r>
    </w:p>
    <w:p w:rsidR="004C3F2B" w:rsidRDefault="004C3F2B" w:rsidP="004C3F2B">
      <w:pPr>
        <w:pStyle w:val="Paragrafi"/>
        <w:rPr>
          <w:szCs w:val="22"/>
        </w:rPr>
      </w:pPr>
      <w:r>
        <w:rPr>
          <w:szCs w:val="22"/>
        </w:rPr>
        <w:t>b) shoqëritë tregtare, që kanë</w:t>
      </w:r>
      <w:r w:rsidRPr="00FF2018">
        <w:rPr>
          <w:szCs w:val="22"/>
        </w:rPr>
        <w:t xml:space="preserve"> objekt vet</w:t>
      </w:r>
      <w:r>
        <w:rPr>
          <w:szCs w:val="22"/>
        </w:rPr>
        <w:t>ë</w:t>
      </w:r>
      <w:r w:rsidRPr="00FF2018">
        <w:rPr>
          <w:szCs w:val="22"/>
          <w:lang w:val="ru-RU"/>
        </w:rPr>
        <w:t>m veprim</w:t>
      </w:r>
      <w:r>
        <w:rPr>
          <w:szCs w:val="22"/>
        </w:rPr>
        <w:t>tarinë</w:t>
      </w:r>
      <w:r w:rsidRPr="00FF2018">
        <w:rPr>
          <w:szCs w:val="22"/>
        </w:rPr>
        <w:t xml:space="preserve"> faktoring. </w:t>
      </w:r>
    </w:p>
    <w:p w:rsidR="004C3F2B" w:rsidRPr="00FF2018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ED00CA">
        <w:rPr>
          <w:szCs w:val="22"/>
        </w:rPr>
        <w:t xml:space="preserve">Nëse faktori krijohet në territorin e Republikës së Shqipërisë, sipas shkronjës “b” të pikës 1 të këtij neni, ai duhet </w:t>
      </w:r>
      <w:r>
        <w:rPr>
          <w:szCs w:val="22"/>
        </w:rPr>
        <w:t>të jetë një shoqëri tregtare, në pë</w:t>
      </w:r>
      <w:r w:rsidRPr="00ED00CA">
        <w:rPr>
          <w:szCs w:val="22"/>
        </w:rPr>
        <w:t>rputhje me ligjin nr.7638, dat</w:t>
      </w:r>
      <w:r>
        <w:rPr>
          <w:szCs w:val="22"/>
        </w:rPr>
        <w:t>ë</w:t>
      </w:r>
      <w:r w:rsidRPr="00ED00CA">
        <w:rPr>
          <w:szCs w:val="22"/>
        </w:rPr>
        <w:t xml:space="preserve"> 19.11.1992 “Për shoqëritë tregtare”, me kapital themeltar j</w:t>
      </w:r>
      <w:r>
        <w:rPr>
          <w:szCs w:val="22"/>
        </w:rPr>
        <w:t>o më të vogël se 20 000 000 (një</w:t>
      </w:r>
      <w:r w:rsidRPr="00ED00CA">
        <w:rPr>
          <w:rFonts w:cs="CG Times"/>
          <w:szCs w:val="22"/>
        </w:rPr>
        <w:t>zet milion</w:t>
      </w:r>
      <w:r>
        <w:rPr>
          <w:szCs w:val="22"/>
        </w:rPr>
        <w:t>ë</w:t>
      </w:r>
      <w:r w:rsidRPr="00ED00CA">
        <w:rPr>
          <w:rFonts w:cs="CG Times"/>
          <w:szCs w:val="22"/>
        </w:rPr>
        <w:t>) lekë, i cili të jetë i shlyer me kontribute në para, të paktën deri në shumën 20 000 000 (nj</w:t>
      </w:r>
      <w:r>
        <w:rPr>
          <w:szCs w:val="22"/>
        </w:rPr>
        <w:t>ë</w:t>
      </w:r>
      <w:r w:rsidRPr="00ED00CA">
        <w:rPr>
          <w:rFonts w:cs="CG Times"/>
          <w:szCs w:val="22"/>
        </w:rPr>
        <w:t>zet milion</w:t>
      </w:r>
      <w:r>
        <w:rPr>
          <w:szCs w:val="22"/>
        </w:rPr>
        <w:t>ë</w:t>
      </w:r>
      <w:r w:rsidRPr="00ED00CA">
        <w:rPr>
          <w:rFonts w:cs="CG Times"/>
          <w:szCs w:val="22"/>
        </w:rPr>
        <w:t xml:space="preserve">) lekë. 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11</w:t>
      </w:r>
    </w:p>
    <w:p w:rsidR="004C3F2B" w:rsidRPr="00ED00CA" w:rsidRDefault="004C3F2B" w:rsidP="004C3F2B">
      <w:pPr>
        <w:pStyle w:val="NeniTitull"/>
      </w:pPr>
      <w:r w:rsidRPr="00ED00CA">
        <w:t>Furnizuesi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Furnizues është çdo subjekt, që ushtron veprimtari tregtare, i krijuar në përputhje me legjislacionin e vendit të origjinës, i cili i ofron debitorit sende dhe/ose shërbime dhe përfiton nga faktori shërbimet e</w:t>
      </w:r>
      <w:r>
        <w:rPr>
          <w:szCs w:val="22"/>
        </w:rPr>
        <w:t xml:space="preserve"> përcaktuara në shkronjën “b” të</w:t>
      </w:r>
      <w:r w:rsidRPr="00ED00CA">
        <w:rPr>
          <w:rFonts w:cs="CG Times"/>
          <w:szCs w:val="22"/>
        </w:rPr>
        <w:t xml:space="preserve"> pik</w:t>
      </w:r>
      <w:r>
        <w:rPr>
          <w:szCs w:val="22"/>
        </w:rPr>
        <w:t>ë</w:t>
      </w:r>
      <w:r w:rsidRPr="00ED00CA">
        <w:rPr>
          <w:rFonts w:cs="CG Times"/>
          <w:szCs w:val="22"/>
        </w:rPr>
        <w:t xml:space="preserve">s 1 të nenit 2 të këtij ligji, kundrejt shpërblimit, që </w:t>
      </w:r>
      <w:r>
        <w:rPr>
          <w:szCs w:val="22"/>
        </w:rPr>
        <w:t>ë</w:t>
      </w:r>
      <w:r>
        <w:rPr>
          <w:szCs w:val="22"/>
          <w:lang w:val="ru-RU"/>
        </w:rPr>
        <w:t>sht</w:t>
      </w:r>
      <w:r>
        <w:rPr>
          <w:szCs w:val="22"/>
        </w:rPr>
        <w:t>ë</w:t>
      </w:r>
      <w:r w:rsidRPr="00ED00CA">
        <w:rPr>
          <w:szCs w:val="22"/>
          <w:lang w:val="ru-RU"/>
        </w:rPr>
        <w:t xml:space="preserve"> </w:t>
      </w:r>
      <w:r w:rsidRPr="00ED00CA">
        <w:rPr>
          <w:szCs w:val="22"/>
        </w:rPr>
        <w:t>një shumë e përcaktuar dhe/ose normë interesi, për një periudhë kohore të caktuar me marrëveshjen e palëve.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lastRenderedPageBreak/>
        <w:t>Neni 12</w:t>
      </w:r>
    </w:p>
    <w:p w:rsidR="004C3F2B" w:rsidRPr="00ED00CA" w:rsidRDefault="004C3F2B" w:rsidP="004C3F2B">
      <w:pPr>
        <w:pStyle w:val="NeniTitull"/>
      </w:pPr>
      <w:r w:rsidRPr="00ED00CA">
        <w:t>Debitori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Debitor është subjekti që blen sende dhe/ose shërbime nga furnizuesi dhe që ushtron veprimtari tregtare dhe është krijuar në përputhje me legjislacionin e vendit të origjinës.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13</w:t>
      </w:r>
    </w:p>
    <w:p w:rsidR="004C3F2B" w:rsidRPr="00ED00CA" w:rsidRDefault="004C3F2B" w:rsidP="004C3F2B">
      <w:pPr>
        <w:pStyle w:val="NeniTitull"/>
      </w:pPr>
      <w:r w:rsidRPr="00ED00CA">
        <w:t>Detyrimet e faktorit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1. Faktori pranon kalimin e kredive të llogarisë klient të furnizuesit, në përputhje me kontratën faktoring, siç parashikohet në nenin 2  të këtij ligji.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2. Faktori kryen shërbimet sipas kontratës faktoring, siç parashi</w:t>
      </w:r>
      <w:r>
        <w:rPr>
          <w:szCs w:val="22"/>
        </w:rPr>
        <w:t>kohet në shkronjën “b” të pikë</w:t>
      </w:r>
      <w:r w:rsidRPr="00ED00CA">
        <w:rPr>
          <w:szCs w:val="22"/>
        </w:rPr>
        <w:t>s 1 të nenit 2  të këtij ligji.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FF2018" w:rsidRDefault="004C3F2B" w:rsidP="004C3F2B">
      <w:pPr>
        <w:pStyle w:val="NeniNr"/>
      </w:pPr>
      <w:r w:rsidRPr="00ED00CA">
        <w:t>Neni 14</w:t>
      </w:r>
    </w:p>
    <w:p w:rsidR="004C3F2B" w:rsidRPr="00ED00CA" w:rsidRDefault="004C3F2B" w:rsidP="004C3F2B">
      <w:pPr>
        <w:pStyle w:val="NeniTitull"/>
      </w:pPr>
      <w:r w:rsidRPr="00ED00CA">
        <w:t>Detyrimet e furnizuesit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1. Furnizuesi përgjigjet kundrejt faktorit për ekzistencën dhe vlefshmërinë e kredive të llogarisë klient, të cilat janë objekt i kontratave të përmendura në nenin 3 të këtij ligji dhe që i kalojnë faktorit të lira nga çdo barrë, mosmarrëveshje, prapësim, pretendim apo nga çdo e drejtë tjetër e të tretëve. 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2. Furnizuesi është i detyruar që, jo më vonë nga çasti kur faktorit i lindin të drejtat, që burojnë nga kontrata faktoring, të vërë në dispozicion të faktorit, sipas nenit 507 të Kodit Civil, çdo të dhënë ose dokument, që provon ekzistencën e kredive të llogarisë klient, objekt i kontratës faktoring. 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3. Nëse debitori, edhe pse është njoftuar sipas nenit 6 të këtij ligji, ekzekuton, gabimisht ose për çdo lloj arsyeje tjetër, në favor të furnizuesit kreditë e llogarisë klient, që furnizuesi ia ka kaluar faktorit nëpërmjet kontratës faktoring, furnizuesi detyrohet t’i transferojë menjëherë faktorit fondet, që ka përfituar nga ekzekutimi i kredisë prej debitorit.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15</w:t>
      </w:r>
    </w:p>
    <w:p w:rsidR="004C3F2B" w:rsidRPr="00FF2018" w:rsidRDefault="004C3F2B" w:rsidP="004C3F2B">
      <w:pPr>
        <w:pStyle w:val="NeniTitull"/>
        <w:rPr>
          <w:lang w:val="it-IT"/>
        </w:rPr>
      </w:pPr>
      <w:r w:rsidRPr="00FF2018">
        <w:rPr>
          <w:lang w:val="it-IT"/>
        </w:rPr>
        <w:t>Mjetet e sigurimit për kontratën faktoring</w:t>
      </w:r>
    </w:p>
    <w:p w:rsidR="004C3F2B" w:rsidRPr="00FF2018" w:rsidRDefault="004C3F2B" w:rsidP="004C3F2B">
      <w:pPr>
        <w:pStyle w:val="Paragrafi"/>
        <w:rPr>
          <w:b/>
          <w:szCs w:val="22"/>
          <w:lang w:val="it-IT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FF2018">
        <w:rPr>
          <w:szCs w:val="22"/>
          <w:lang w:val="it-IT"/>
        </w:rPr>
        <w:t xml:space="preserve"> </w:t>
      </w:r>
      <w:r w:rsidRPr="00ED00CA">
        <w:rPr>
          <w:szCs w:val="22"/>
        </w:rPr>
        <w:t>Faktori dhe furnizuesi mund të parashikojnë në kontratën faktoring mjete për sigurimin e transaksioneve faktoring. Mjetet e sigurimit përfshijnë depozitën, barrën siguruese, pengun, dorëzaninë ose mjete të tjera sigurimi, në përputhje me dispozitat ligjore në fuqi.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16</w:t>
      </w:r>
    </w:p>
    <w:p w:rsidR="004C3F2B" w:rsidRPr="00ED00CA" w:rsidRDefault="004C3F2B" w:rsidP="004C3F2B">
      <w:pPr>
        <w:pStyle w:val="NeniTitull"/>
      </w:pPr>
      <w:r w:rsidRPr="00ED00CA">
        <w:t>Të drejtat e debitorit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1. Debitori ka të drejtë të njoftohet për kontratën faktoring, kreditë e llogarisë klient, objekt i kontratës, dhe identitetin e faktorit.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2. Të drejtat dhe detyrimet e përcaktuara për debitorin në kontratën e lidhur ndërmjet tij dhe furnizuesit mbeten të pandryshuara, pavarësisht nga ndryshimi i palës, në favor të së cilës debitori ekzekuton kredinë. 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FF2018" w:rsidRDefault="004C3F2B" w:rsidP="004C3F2B">
      <w:pPr>
        <w:pStyle w:val="NeniNr"/>
      </w:pPr>
      <w:r w:rsidRPr="00FF2018">
        <w:t>Neni 17</w:t>
      </w:r>
    </w:p>
    <w:p w:rsidR="004C3F2B" w:rsidRPr="00FF2018" w:rsidRDefault="004C3F2B" w:rsidP="004C3F2B">
      <w:pPr>
        <w:pStyle w:val="NeniTitull"/>
      </w:pPr>
      <w:r w:rsidRPr="00FF2018">
        <w:t>Detyrimi për të paguar</w:t>
      </w:r>
    </w:p>
    <w:p w:rsidR="004C3F2B" w:rsidRPr="00FF2018" w:rsidRDefault="004C3F2B" w:rsidP="004C3F2B">
      <w:pPr>
        <w:pStyle w:val="Paragrafi"/>
        <w:rPr>
          <w:szCs w:val="22"/>
          <w:lang w:val="it-IT"/>
        </w:rPr>
      </w:pPr>
    </w:p>
    <w:p w:rsidR="004C3F2B" w:rsidRPr="00FF2018" w:rsidRDefault="004C3F2B" w:rsidP="004C3F2B">
      <w:pPr>
        <w:pStyle w:val="Paragrafi"/>
        <w:rPr>
          <w:szCs w:val="22"/>
          <w:lang w:val="it-IT"/>
        </w:rPr>
      </w:pPr>
      <w:r w:rsidRPr="00FF2018">
        <w:rPr>
          <w:szCs w:val="22"/>
          <w:lang w:val="it-IT"/>
        </w:rPr>
        <w:t xml:space="preserve">1. Debitori është i detyruar të paguajë faktorin vetëm nëse nuk është në dijeni për përparësinë e një subjekti tjetër për t’u paguar dhe nëse njoftimi me shkrim për kalimin e kredisë: 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lastRenderedPageBreak/>
        <w:t>a) i është dhënë debitorit nga furnizuesi ose nga faktori, me miratimin e furnizuesit;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b) identifikon, për aq sa është e mundur, kreditë e llogarisë klient, të kaluara në favor të faktorit, kundrejt të cilit debitori duhet të paguajë kredinë;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c) u referohet kredive të llogarisë klient, që kanë lindur nga një kontratë shitjeje sendesh dhe/ose shërbimesh, e lidhur përpara ose në kohën e dhënies së njoftimit.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2. Pasi të jetë kryer njoftimi në mënyrën e duhur, debitori paguan faktorin, sipas kushteve të kontratës së lidhur ndërmjet furnizuesit dhe debitorit.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18</w:t>
      </w:r>
    </w:p>
    <w:p w:rsidR="004C3F2B" w:rsidRPr="00ED00CA" w:rsidRDefault="004C3F2B" w:rsidP="004C3F2B">
      <w:pPr>
        <w:pStyle w:val="NeniTitull"/>
      </w:pPr>
      <w:r w:rsidRPr="00ED00CA">
        <w:t>Shkarkimi nga detyrimi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Debitori shkarkohet nga detyrimi kur kryen pagesën e kredisë në favor të faktorit, në përputhje me parashkimet e nenit 17 të këtij ligji, si dhe në çdo rast tjetër, kur kryerja e pagesës së kredisë nga debitori, në favor të faktorit, e çliron debitorin nga detyrimi.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157851" w:rsidRDefault="004C3F2B" w:rsidP="004C3F2B">
      <w:pPr>
        <w:pStyle w:val="NeniNr"/>
      </w:pPr>
      <w:r w:rsidRPr="00157851">
        <w:t>Neni 19</w:t>
      </w:r>
    </w:p>
    <w:p w:rsidR="004C3F2B" w:rsidRPr="00157851" w:rsidRDefault="004C3F2B" w:rsidP="004C3F2B">
      <w:pPr>
        <w:pStyle w:val="NeniTitull"/>
      </w:pPr>
      <w:r w:rsidRPr="00157851">
        <w:t>Prapësimet dhe mbrojtja e debitorit</w:t>
      </w:r>
    </w:p>
    <w:p w:rsidR="004C3F2B" w:rsidRPr="00157851" w:rsidRDefault="004C3F2B" w:rsidP="004C3F2B">
      <w:pPr>
        <w:pStyle w:val="Paragrafi"/>
      </w:pPr>
    </w:p>
    <w:p w:rsidR="004C3F2B" w:rsidRPr="00157851" w:rsidRDefault="004C3F2B" w:rsidP="004C3F2B">
      <w:pPr>
        <w:pStyle w:val="Paragrafi"/>
      </w:pPr>
      <w:r w:rsidRPr="00157851">
        <w:t>1. Nëse faktori ka pretendime ndaj debitorit për pagesën e një kredie të llogarisë klient, që lind nga një kontrat</w:t>
      </w:r>
      <w:r>
        <w:t>ë</w:t>
      </w:r>
      <w:r w:rsidRPr="00157851">
        <w:t xml:space="preserve"> shitjeje sendesh dhe/ose shërbimesh, debitori ka të drejtë t’i kundrejtojë faktorit të gjitha prapësimet, të cilat do t’ia kundrejtonte furnizuesit.</w:t>
      </w:r>
    </w:p>
    <w:p w:rsidR="004C3F2B" w:rsidRPr="00157851" w:rsidRDefault="004C3F2B" w:rsidP="004C3F2B">
      <w:pPr>
        <w:pStyle w:val="Paragrafi"/>
      </w:pPr>
      <w:r w:rsidRPr="00157851">
        <w:t>2. Gjithas</w:t>
      </w:r>
      <w:r>
        <w:t>htu, debitori ka të drejtë të kë</w:t>
      </w:r>
      <w:r w:rsidRPr="00157851">
        <w:t>rkojë nga faktori kompensimin e kredisë së llogarisë klient, që i ka kaluar faktorit me kredi të debitorit ndaj furnizuesit, të cilat lindin në çastin kur debitori ka marrë njoftimin me shkrim për kalimin e kredive, sipas neneve 6 dhe 17 të këtij ligji.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FF2018" w:rsidRDefault="004C3F2B" w:rsidP="004C3F2B">
      <w:pPr>
        <w:pStyle w:val="NeniNr"/>
      </w:pPr>
      <w:r w:rsidRPr="00FF2018">
        <w:t>Neni 20</w:t>
      </w:r>
    </w:p>
    <w:p w:rsidR="004C3F2B" w:rsidRPr="00FF2018" w:rsidRDefault="004C3F2B" w:rsidP="004C3F2B">
      <w:pPr>
        <w:pStyle w:val="NeniTitull"/>
      </w:pPr>
      <w:r w:rsidRPr="00FF2018">
        <w:t xml:space="preserve">Kthimi i shumave që debitori i ka paguar faktorit </w:t>
      </w:r>
    </w:p>
    <w:p w:rsidR="004C3F2B" w:rsidRPr="00FF2018" w:rsidRDefault="004C3F2B" w:rsidP="004C3F2B">
      <w:pPr>
        <w:pStyle w:val="Paragrafi"/>
        <w:rPr>
          <w:szCs w:val="22"/>
          <w:lang w:val="it-IT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1. Mospërmbushja ose përmbushja e parregullt apo me vonesë e kontratës së shitjes së sendeve dhe/ose shërbimeve, pa cenuar të drejtat e debitorit, sipas nenit 19 të këtij ligji, nuk i jep atij menjëherë të drejtën për t’i kërkuar faktorit kthimin e shumës së paguar, edhe nëse debitori ka të drejtë të kërkojë kthimin e kësaj shume nga furnizuesi.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Pr="00ED00CA">
        <w:rPr>
          <w:szCs w:val="22"/>
        </w:rPr>
        <w:t>Debitori, i cili gëzon të drejtën që t’i kërkojë furnizuesit kthimin e shumës, që i ka paguar faktorit për një kredi të llogarisë klient, ka të drejtë t'i kërkojë faktorit kthimin e shumës në fjalë, kur faktori:</w:t>
      </w: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ED00CA">
        <w:rPr>
          <w:szCs w:val="22"/>
        </w:rPr>
        <w:t>nuk ka bërë pagesën në favor të furnizuesit për kredinë në fjalë; ose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b) ka bërë pagesën në favor të furnizuesit për kredinë në fjalë, duke qenë në dijeni për mospërmbushjen ose përmbushjen e parregullt apo me vonesë të kontratës së shitjes së sendeve dhe/ose shërbimeve nga furnizuesi.</w:t>
      </w:r>
    </w:p>
    <w:p w:rsidR="004C3F2B" w:rsidRPr="00ED00CA" w:rsidRDefault="004C3F2B" w:rsidP="004C3F2B">
      <w:pPr>
        <w:pStyle w:val="KapitulliNr"/>
      </w:pPr>
      <w:r w:rsidRPr="00ED00CA">
        <w:t>KREU III</w:t>
      </w:r>
    </w:p>
    <w:p w:rsidR="004C3F2B" w:rsidRPr="00ED00CA" w:rsidRDefault="004C3F2B" w:rsidP="004C3F2B">
      <w:pPr>
        <w:pStyle w:val="KapitulliTitull"/>
      </w:pPr>
      <w:r w:rsidRPr="00ED00CA">
        <w:t>KALIMET E NJËPASNJËSHME TË KREDIVE</w:t>
      </w:r>
    </w:p>
    <w:p w:rsidR="004C3F2B" w:rsidRPr="00ED00CA" w:rsidRDefault="004C3F2B" w:rsidP="004C3F2B">
      <w:pPr>
        <w:pStyle w:val="Paragrafi"/>
        <w:rPr>
          <w:bCs/>
          <w:szCs w:val="22"/>
        </w:rPr>
      </w:pPr>
    </w:p>
    <w:p w:rsidR="004C3F2B" w:rsidRDefault="004C3F2B" w:rsidP="004C3F2B">
      <w:pPr>
        <w:pStyle w:val="NeniNr"/>
      </w:pPr>
      <w:r w:rsidRPr="00ED00CA">
        <w:t>Neni 21</w:t>
      </w:r>
    </w:p>
    <w:p w:rsidR="004C3F2B" w:rsidRPr="00FF2018" w:rsidRDefault="004C3F2B" w:rsidP="004C3F2B">
      <w:pPr>
        <w:pStyle w:val="NeniTitull"/>
        <w:rPr>
          <w:bCs/>
        </w:rPr>
      </w:pPr>
      <w:r w:rsidRPr="00ED00CA">
        <w:t>Faktori ose subjekti, në favor të të cilit bëhet kalimi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ED00CA">
        <w:rPr>
          <w:szCs w:val="22"/>
        </w:rPr>
        <w:t>Kur furnizuesi i kalon faktorit kredinë e llogarisë klient, nëpërmjet kontratës faktoring, në përputhje me këtë ligj: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a) dispozitat e neneve 3 dhe 20 të këtij ligji, sipas p</w:t>
      </w:r>
      <w:r>
        <w:rPr>
          <w:szCs w:val="22"/>
        </w:rPr>
        <w:t>ë</w:t>
      </w:r>
      <w:r w:rsidRPr="00ED00CA">
        <w:rPr>
          <w:rFonts w:cs="CG Times"/>
          <w:szCs w:val="22"/>
        </w:rPr>
        <w:t>rcaktimeve n</w:t>
      </w:r>
      <w:r>
        <w:rPr>
          <w:szCs w:val="22"/>
        </w:rPr>
        <w:t>ë</w:t>
      </w:r>
      <w:r w:rsidRPr="00ED00CA">
        <w:rPr>
          <w:rFonts w:cs="CG Times"/>
          <w:szCs w:val="22"/>
        </w:rPr>
        <w:t xml:space="preserve"> shkronj</w:t>
      </w:r>
      <w:r>
        <w:rPr>
          <w:szCs w:val="22"/>
        </w:rPr>
        <w:t>ë</w:t>
      </w:r>
      <w:r w:rsidRPr="00ED00CA">
        <w:rPr>
          <w:rFonts w:cs="CG Times"/>
          <w:szCs w:val="22"/>
        </w:rPr>
        <w:t>n “b” të këtij neni, zbatohen për çdo kalim të mëtejshëm të kredisë në fjalë tek të tretët;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b) dispozitat e neneve 17 dhe 20 të këtij ligji zbatohen ndaj subjekteve, të cilëve u kalon, </w:t>
      </w:r>
      <w:r w:rsidRPr="00ED00CA">
        <w:rPr>
          <w:szCs w:val="22"/>
        </w:rPr>
        <w:lastRenderedPageBreak/>
        <w:t>në mënyrë të njëpasnjëshme, kredia në fjalë, njësoj si ndaj faktorit.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2. Njoftimi i debitorit për kalimin e njëpasnjëshëm kryhet nga faktori ekzistues ose faktori i ri.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22</w:t>
      </w:r>
    </w:p>
    <w:p w:rsidR="004C3F2B" w:rsidRPr="00ED00CA" w:rsidRDefault="004C3F2B" w:rsidP="004C3F2B">
      <w:pPr>
        <w:pStyle w:val="NeniTitull"/>
      </w:pPr>
      <w:r w:rsidRPr="00ED00CA">
        <w:t>Ndalimi i kalimit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Kontrata faktoring mund të kufizojë ose të ndalojë shitjet apo kalimet e njëpasnjëshme të kredisë së llogarisë klient.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9F6A00" w:rsidRDefault="004C3F2B" w:rsidP="004C3F2B">
      <w:pPr>
        <w:pStyle w:val="KapitulliNr"/>
      </w:pPr>
      <w:r w:rsidRPr="009F6A00">
        <w:t>KREU IV</w:t>
      </w:r>
    </w:p>
    <w:p w:rsidR="004C3F2B" w:rsidRPr="009F6A00" w:rsidRDefault="004C3F2B" w:rsidP="004C3F2B">
      <w:pPr>
        <w:pStyle w:val="KapitulliTitull"/>
      </w:pPr>
      <w:r w:rsidRPr="009F6A00">
        <w:t>REGJISTRIMI I KALIMIT TË KREDIVE</w:t>
      </w:r>
    </w:p>
    <w:p w:rsidR="004C3F2B" w:rsidRPr="009F6A00" w:rsidRDefault="004C3F2B" w:rsidP="004C3F2B">
      <w:pPr>
        <w:pStyle w:val="Paragrafi"/>
        <w:rPr>
          <w:b/>
          <w:bCs/>
          <w:szCs w:val="22"/>
          <w:lang w:val="it-IT"/>
        </w:rPr>
      </w:pPr>
    </w:p>
    <w:p w:rsidR="004C3F2B" w:rsidRPr="00ED00CA" w:rsidRDefault="004C3F2B" w:rsidP="004C3F2B">
      <w:pPr>
        <w:pStyle w:val="NeniNr"/>
      </w:pPr>
      <w:r w:rsidRPr="00ED00CA">
        <w:t xml:space="preserve">Neni 23 </w:t>
      </w:r>
    </w:p>
    <w:p w:rsidR="004C3F2B" w:rsidRPr="00ED00CA" w:rsidRDefault="004C3F2B" w:rsidP="004C3F2B">
      <w:pPr>
        <w:pStyle w:val="NeniTitull"/>
      </w:pPr>
      <w:r w:rsidRPr="00ED00CA">
        <w:t>Regjistrimi i kalimit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Kalimi i kredive të llogarisë klient, nëpërmjet kontratës faktoring, çdo ndryshim apo shtesë, si dhe mbarimi i kontratës faktoring regjistrohen në regjistrin e barrëve siguruese.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24</w:t>
      </w:r>
    </w:p>
    <w:p w:rsidR="004C3F2B" w:rsidRPr="00ED00CA" w:rsidRDefault="004C3F2B" w:rsidP="004C3F2B">
      <w:pPr>
        <w:pStyle w:val="NeniTitull"/>
      </w:pPr>
      <w:r w:rsidRPr="00ED00CA">
        <w:t>Përmbajtja e regjistrit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Kërkesa për regjistrimin e kalimit të kredisë së llogarisë klient </w:t>
      </w:r>
      <w:r>
        <w:rPr>
          <w:szCs w:val="22"/>
        </w:rPr>
        <w:t>nëpërmjet kontratës faktoring pë</w:t>
      </w:r>
      <w:r w:rsidRPr="00ED00CA">
        <w:rPr>
          <w:rFonts w:cs="CG Times"/>
          <w:szCs w:val="22"/>
        </w:rPr>
        <w:t>rmban: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a) të dhënat për identifikimin e faktorit, furnizuesit dhe debitorit;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b) identifikimin e çdo kolaterali, që rregullohet nga kontrata faktoring;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c) nënshkrimin e personit, që kërkon regjistrimin në regjistër të kontratës faktoring, për kalimin e kredive të llogarisë klient.  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25</w:t>
      </w:r>
    </w:p>
    <w:p w:rsidR="004C3F2B" w:rsidRPr="00ED00CA" w:rsidRDefault="004C3F2B" w:rsidP="004C3F2B">
      <w:pPr>
        <w:pStyle w:val="NeniTitull"/>
      </w:pPr>
      <w:r w:rsidRPr="00ED00CA">
        <w:t>Çasti dhe përparësia e regjistrimit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Të dhënat e përcaktuara në nenin 24 regjistrohen në regjistër në çastin e paraqitjes së kërkesës për regjistrim dhe kanë përparësi ndaj pretendimeve të të tretëve.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26</w:t>
      </w:r>
    </w:p>
    <w:p w:rsidR="004C3F2B" w:rsidRPr="00ED00CA" w:rsidRDefault="004C3F2B" w:rsidP="004C3F2B">
      <w:pPr>
        <w:pStyle w:val="NeniTitull"/>
      </w:pPr>
      <w:r w:rsidRPr="00ED00CA">
        <w:t>Të dhëna të tjera të regjistrueshme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 xml:space="preserve"> Faktori, furnizuesi ose debitori mund të kërkojnë të shënohet në regjistër ngritja e ndonjë padie, që lidhet me k</w:t>
      </w:r>
      <w:r>
        <w:rPr>
          <w:szCs w:val="22"/>
        </w:rPr>
        <w:t>ontratën e faktoring. Shënimi pë</w:t>
      </w:r>
      <w:r w:rsidRPr="00ED00CA">
        <w:rPr>
          <w:rFonts w:cs="CG Times"/>
          <w:szCs w:val="22"/>
        </w:rPr>
        <w:t>rmban të dhëna për identifikimin e kërkesëpadisë dhe një përshkrim të shkurtër të saj. Gjithashtu, m</w:t>
      </w:r>
      <w:r w:rsidRPr="00ED00CA">
        <w:rPr>
          <w:szCs w:val="22"/>
        </w:rPr>
        <w:t xml:space="preserve">und të regjistrohet edhe heqja dorë nga kërkesëpadia apo vendimet e tjera të lidhura me të.  </w:t>
      </w:r>
    </w:p>
    <w:p w:rsidR="004C3F2B" w:rsidRPr="00ED00CA" w:rsidRDefault="004C3F2B" w:rsidP="004C3F2B">
      <w:pPr>
        <w:pStyle w:val="NeniNr"/>
      </w:pPr>
      <w:r w:rsidRPr="00ED00CA">
        <w:t>Neni 27</w:t>
      </w:r>
    </w:p>
    <w:p w:rsidR="004C3F2B" w:rsidRPr="009F6A00" w:rsidRDefault="004C3F2B" w:rsidP="004C3F2B">
      <w:pPr>
        <w:pStyle w:val="NeniTitull"/>
      </w:pPr>
      <w:r w:rsidRPr="009F6A00">
        <w:t>Efektet e regjistrimit ndaj palëve të treta</w:t>
      </w:r>
    </w:p>
    <w:p w:rsidR="004C3F2B" w:rsidRPr="009F6A00" w:rsidRDefault="004C3F2B" w:rsidP="004C3F2B">
      <w:pPr>
        <w:pStyle w:val="Paragrafi"/>
        <w:rPr>
          <w:szCs w:val="22"/>
          <w:lang w:val="it-IT"/>
        </w:rPr>
      </w:pPr>
    </w:p>
    <w:p w:rsidR="004C3F2B" w:rsidRPr="009F6A00" w:rsidRDefault="004C3F2B" w:rsidP="004C3F2B">
      <w:pPr>
        <w:pStyle w:val="Paragrafi"/>
        <w:rPr>
          <w:szCs w:val="22"/>
          <w:lang w:val="it-IT"/>
        </w:rPr>
      </w:pPr>
      <w:r w:rsidRPr="009F6A00">
        <w:rPr>
          <w:szCs w:val="22"/>
          <w:lang w:val="it-IT"/>
        </w:rPr>
        <w:t>1.</w:t>
      </w:r>
      <w:r>
        <w:rPr>
          <w:szCs w:val="22"/>
          <w:lang w:val="it-IT"/>
        </w:rPr>
        <w:t xml:space="preserve"> </w:t>
      </w:r>
      <w:r w:rsidRPr="009F6A00">
        <w:rPr>
          <w:szCs w:val="22"/>
          <w:lang w:val="it-IT"/>
        </w:rPr>
        <w:t>Prezumohet se të tretët kanë dijeni për ekzistencën e kalimeve të regjistruara në regjistër.</w:t>
      </w:r>
    </w:p>
    <w:p w:rsidR="004C3F2B" w:rsidRPr="0061354C" w:rsidRDefault="004C3F2B" w:rsidP="004C3F2B">
      <w:pPr>
        <w:pStyle w:val="Paragrafi"/>
        <w:rPr>
          <w:szCs w:val="22"/>
          <w:lang w:val="it-IT"/>
        </w:rPr>
      </w:pPr>
      <w:r w:rsidRPr="009F6A00">
        <w:rPr>
          <w:szCs w:val="22"/>
          <w:lang w:val="it-IT"/>
        </w:rPr>
        <w:t>2.</w:t>
      </w:r>
      <w:r>
        <w:rPr>
          <w:szCs w:val="22"/>
          <w:lang w:val="it-IT"/>
        </w:rPr>
        <w:t xml:space="preserve"> </w:t>
      </w:r>
      <w:r w:rsidRPr="009F6A00">
        <w:rPr>
          <w:szCs w:val="22"/>
          <w:lang w:val="it-IT"/>
        </w:rPr>
        <w:t>Të dhënat e regjistruara në regjistër nuk përdoren për të vërtetuar pronësinë, përveç rasteve kur është deklaruar ndryshe, apo p</w:t>
      </w:r>
      <w:r>
        <w:rPr>
          <w:szCs w:val="22"/>
          <w:lang w:val="it-IT"/>
        </w:rPr>
        <w:t>ë</w:t>
      </w:r>
      <w:r w:rsidRPr="009F6A00">
        <w:rPr>
          <w:rFonts w:cs="CG Times"/>
          <w:szCs w:val="22"/>
          <w:lang w:val="it-IT"/>
        </w:rPr>
        <w:t>r t</w:t>
      </w:r>
      <w:r>
        <w:rPr>
          <w:szCs w:val="22"/>
          <w:lang w:val="it-IT"/>
        </w:rPr>
        <w:t>ë</w:t>
      </w:r>
      <w:r w:rsidRPr="009F6A00">
        <w:rPr>
          <w:rFonts w:cs="CG Times"/>
          <w:szCs w:val="22"/>
          <w:lang w:val="it-IT"/>
        </w:rPr>
        <w:t xml:space="preserve"> v</w:t>
      </w:r>
      <w:r>
        <w:rPr>
          <w:szCs w:val="22"/>
          <w:lang w:val="it-IT"/>
        </w:rPr>
        <w:t>ë</w:t>
      </w:r>
      <w:r w:rsidRPr="009F6A00">
        <w:rPr>
          <w:rFonts w:cs="CG Times"/>
          <w:szCs w:val="22"/>
          <w:lang w:val="it-IT"/>
        </w:rPr>
        <w:t xml:space="preserve">rtetuar ndonjë të drejtë tjetër, që lidhet me kalimin e kredive të llogarisë klient, nëpërmjet kontratës faktoring ose si provë </w:t>
      </w:r>
      <w:r w:rsidRPr="009F6A00">
        <w:rPr>
          <w:szCs w:val="22"/>
          <w:lang w:val="it-IT"/>
        </w:rPr>
        <w:t>për vlefshmërinë e një transanksioni ligjor.</w:t>
      </w:r>
    </w:p>
    <w:p w:rsidR="004C3F2B" w:rsidRPr="009F6A00" w:rsidRDefault="004C3F2B" w:rsidP="004C3F2B">
      <w:pPr>
        <w:pStyle w:val="Paragrafi"/>
        <w:ind w:firstLine="0"/>
        <w:rPr>
          <w:b/>
          <w:szCs w:val="22"/>
          <w:lang w:val="it-IT"/>
        </w:rPr>
      </w:pPr>
    </w:p>
    <w:p w:rsidR="004C3F2B" w:rsidRPr="009F6A00" w:rsidRDefault="004C3F2B" w:rsidP="004C3F2B">
      <w:pPr>
        <w:pStyle w:val="KapitulliNr"/>
      </w:pPr>
      <w:r w:rsidRPr="009F6A00">
        <w:t>KREU V</w:t>
      </w:r>
    </w:p>
    <w:p w:rsidR="004C3F2B" w:rsidRPr="009F6A00" w:rsidRDefault="004C3F2B" w:rsidP="004C3F2B">
      <w:pPr>
        <w:pStyle w:val="KapitulliTitull"/>
      </w:pPr>
      <w:r w:rsidRPr="009F6A00">
        <w:t>DISPOZITA TË TJERA TË ZBATUESHME PËR FAKTORINGUN</w:t>
      </w:r>
    </w:p>
    <w:p w:rsidR="004C3F2B" w:rsidRPr="009F6A00" w:rsidRDefault="004C3F2B" w:rsidP="004C3F2B">
      <w:pPr>
        <w:pStyle w:val="Paragrafi"/>
        <w:rPr>
          <w:bCs/>
          <w:szCs w:val="22"/>
          <w:lang w:val="it-IT"/>
        </w:rPr>
      </w:pPr>
    </w:p>
    <w:p w:rsidR="004C3F2B" w:rsidRPr="00ED00CA" w:rsidRDefault="004C3F2B" w:rsidP="004C3F2B">
      <w:pPr>
        <w:pStyle w:val="NeniNr"/>
      </w:pPr>
      <w:r w:rsidRPr="00ED00CA">
        <w:t>Neni 28</w:t>
      </w:r>
    </w:p>
    <w:p w:rsidR="004C3F2B" w:rsidRPr="00ED00CA" w:rsidRDefault="004C3F2B" w:rsidP="004C3F2B">
      <w:pPr>
        <w:pStyle w:val="NeniTitull"/>
      </w:pPr>
      <w:r w:rsidRPr="00ED00CA">
        <w:t>Bankat</w:t>
      </w:r>
    </w:p>
    <w:p w:rsidR="004C3F2B" w:rsidRPr="00ED00CA" w:rsidRDefault="004C3F2B" w:rsidP="004C3F2B">
      <w:pPr>
        <w:pStyle w:val="Paragrafi"/>
        <w:rPr>
          <w:b/>
          <w:szCs w:val="22"/>
        </w:rPr>
      </w:pPr>
      <w:r w:rsidRPr="00ED00CA">
        <w:rPr>
          <w:b/>
          <w:szCs w:val="22"/>
        </w:rPr>
        <w:t xml:space="preserve"> 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Kur</w:t>
      </w:r>
      <w:r>
        <w:rPr>
          <w:szCs w:val="22"/>
        </w:rPr>
        <w:t xml:space="preserve"> veprimtaria faktoring, sipas pë</w:t>
      </w:r>
      <w:r w:rsidRPr="00ED00CA">
        <w:rPr>
          <w:rFonts w:cs="CG Times"/>
          <w:szCs w:val="22"/>
        </w:rPr>
        <w:t>rcaktimit t</w:t>
      </w:r>
      <w:r>
        <w:rPr>
          <w:szCs w:val="22"/>
        </w:rPr>
        <w:t>ë</w:t>
      </w:r>
      <w:r w:rsidRPr="00ED00CA">
        <w:rPr>
          <w:rFonts w:cs="CG Times"/>
          <w:szCs w:val="22"/>
        </w:rPr>
        <w:t xml:space="preserve"> nenit 2 të këtij ligji, kryhet nga bankat, ajo do të mbikëqyret dhe rregullohet nga </w:t>
      </w:r>
      <w:smartTag w:uri="urn:schemas-microsoft-com:office:smarttags" w:element="place">
        <w:r w:rsidRPr="00ED00CA">
          <w:rPr>
            <w:rFonts w:cs="CG Times"/>
            <w:szCs w:val="22"/>
          </w:rPr>
          <w:t>Banka</w:t>
        </w:r>
      </w:smartTag>
      <w:r w:rsidRPr="00ED00CA">
        <w:rPr>
          <w:rFonts w:cs="CG Times"/>
          <w:szCs w:val="22"/>
        </w:rPr>
        <w:t xml:space="preserve"> e Shqipërisë.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29</w:t>
      </w:r>
    </w:p>
    <w:p w:rsidR="004C3F2B" w:rsidRPr="00ED00CA" w:rsidRDefault="004C3F2B" w:rsidP="004C3F2B">
      <w:pPr>
        <w:pStyle w:val="NeniTitull"/>
      </w:pPr>
      <w:r w:rsidRPr="00ED00CA">
        <w:t>Institucionet financiare jobankare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Kur</w:t>
      </w:r>
      <w:r>
        <w:rPr>
          <w:szCs w:val="22"/>
        </w:rPr>
        <w:t xml:space="preserve"> veprimtaria faktoring, sipas pë</w:t>
      </w:r>
      <w:r w:rsidRPr="00ED00CA">
        <w:rPr>
          <w:rFonts w:cs="CG Times"/>
          <w:szCs w:val="22"/>
        </w:rPr>
        <w:t>rcaktimit t</w:t>
      </w:r>
      <w:r>
        <w:rPr>
          <w:szCs w:val="22"/>
        </w:rPr>
        <w:t>ë</w:t>
      </w:r>
      <w:r w:rsidRPr="00ED00CA">
        <w:rPr>
          <w:rFonts w:cs="CG Times"/>
          <w:szCs w:val="22"/>
        </w:rPr>
        <w:t xml:space="preserve"> nenit 2 të</w:t>
      </w:r>
      <w:r w:rsidRPr="00ED00CA">
        <w:rPr>
          <w:szCs w:val="22"/>
        </w:rPr>
        <w:t xml:space="preserve"> këtij ligji, kryhet nga institucionet financiare jobankare, ajo i nënshtrohet legjislacionit përkatës të Republikës së Shqipërisë.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30</w:t>
      </w:r>
    </w:p>
    <w:p w:rsidR="004C3F2B" w:rsidRPr="00ED00CA" w:rsidRDefault="004C3F2B" w:rsidP="004C3F2B">
      <w:pPr>
        <w:pStyle w:val="NeniTitull"/>
      </w:pPr>
      <w:r w:rsidRPr="00ED00CA">
        <w:t xml:space="preserve">Trajtimi fiskal i faktoringut 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Për tatimin mbi vlerën e shtuar, shërbimi faktoring trajtohet si shërbim financiar.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ED00CA" w:rsidRDefault="004C3F2B" w:rsidP="004C3F2B">
      <w:pPr>
        <w:pStyle w:val="NeniNr"/>
      </w:pPr>
      <w:r w:rsidRPr="00ED00CA">
        <w:t>Neni 31</w:t>
      </w:r>
    </w:p>
    <w:p w:rsidR="004C3F2B" w:rsidRPr="00794601" w:rsidRDefault="004C3F2B" w:rsidP="004C3F2B">
      <w:pPr>
        <w:pStyle w:val="NeniTitull"/>
        <w:rPr>
          <w:lang w:val="it-IT"/>
        </w:rPr>
      </w:pPr>
      <w:r w:rsidRPr="00794601">
        <w:rPr>
          <w:lang w:val="it-IT"/>
        </w:rPr>
        <w:t>Falimentimi, riorganizimi dhe likuidimi</w:t>
      </w:r>
    </w:p>
    <w:p w:rsidR="004C3F2B" w:rsidRPr="00794601" w:rsidRDefault="004C3F2B" w:rsidP="004C3F2B">
      <w:pPr>
        <w:pStyle w:val="Paragrafi"/>
        <w:rPr>
          <w:szCs w:val="22"/>
          <w:lang w:val="it-IT"/>
        </w:rPr>
      </w:pPr>
    </w:p>
    <w:p w:rsidR="004C3F2B" w:rsidRPr="00794601" w:rsidRDefault="004C3F2B" w:rsidP="004C3F2B">
      <w:pPr>
        <w:pStyle w:val="Paragrafi"/>
        <w:rPr>
          <w:szCs w:val="22"/>
          <w:lang w:val="it-IT"/>
        </w:rPr>
      </w:pPr>
      <w:r w:rsidRPr="00794601">
        <w:rPr>
          <w:szCs w:val="22"/>
          <w:lang w:val="it-IT"/>
        </w:rPr>
        <w:t>1. Faktori në proces falimentimi, riorganizimi ose likuidimi trajtohet nga gjykata, sipas dispozitave të legjislacionit n</w:t>
      </w:r>
      <w:r>
        <w:rPr>
          <w:szCs w:val="22"/>
          <w:lang w:val="it-IT"/>
        </w:rPr>
        <w:t>ë</w:t>
      </w:r>
      <w:r w:rsidRPr="00794601">
        <w:rPr>
          <w:rFonts w:cs="CG Times"/>
          <w:szCs w:val="22"/>
          <w:lang w:val="it-IT"/>
        </w:rPr>
        <w:t xml:space="preserve"> fuqi.  </w:t>
      </w:r>
    </w:p>
    <w:p w:rsidR="004C3F2B" w:rsidRPr="00794601" w:rsidRDefault="004C3F2B" w:rsidP="004C3F2B">
      <w:pPr>
        <w:pStyle w:val="Paragrafi"/>
        <w:rPr>
          <w:szCs w:val="22"/>
          <w:lang w:val="it-IT"/>
        </w:rPr>
      </w:pPr>
      <w:r w:rsidRPr="00794601">
        <w:rPr>
          <w:szCs w:val="22"/>
          <w:lang w:val="it-IT"/>
        </w:rPr>
        <w:t>2. Kur ndaj debitorit fillon një procedurë falimentimi, riorganizimi ose likuidimi, detyrimi i tij p</w:t>
      </w:r>
      <w:r>
        <w:rPr>
          <w:szCs w:val="22"/>
          <w:lang w:val="it-IT"/>
        </w:rPr>
        <w:t>ë</w:t>
      </w:r>
      <w:r w:rsidRPr="00794601">
        <w:rPr>
          <w:rFonts w:cs="CG Times"/>
          <w:szCs w:val="22"/>
          <w:lang w:val="it-IT"/>
        </w:rPr>
        <w:t>r t’i paguar faktorit kredin</w:t>
      </w:r>
      <w:r>
        <w:rPr>
          <w:szCs w:val="22"/>
          <w:lang w:val="it-IT"/>
        </w:rPr>
        <w:t>ë</w:t>
      </w:r>
      <w:r w:rsidRPr="00794601">
        <w:rPr>
          <w:rFonts w:cs="CG Times"/>
          <w:szCs w:val="22"/>
          <w:lang w:val="it-IT"/>
        </w:rPr>
        <w:t xml:space="preserve"> e llogaris</w:t>
      </w:r>
      <w:r>
        <w:rPr>
          <w:szCs w:val="22"/>
          <w:lang w:val="it-IT"/>
        </w:rPr>
        <w:t>ë</w:t>
      </w:r>
      <w:r w:rsidRPr="00794601">
        <w:rPr>
          <w:rFonts w:cs="CG Times"/>
          <w:szCs w:val="22"/>
          <w:lang w:val="it-IT"/>
        </w:rPr>
        <w:t xml:space="preserve"> klient: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a) konsiderohet nga gjykata si një detyrim i pasiguruar;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b) konsiderohet nga gjykata si detyrim i siguruar, vetëm nëse është i siguruar me njërin nga mjetet e sigurimit;</w:t>
      </w: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c) vazhdon t’u nënshtrohet të njëjtave të drejta dhe detyrime, të parashikuara në nenet 16 e 17  të këtij ligji.</w:t>
      </w:r>
    </w:p>
    <w:p w:rsidR="004C3F2B" w:rsidRDefault="004C3F2B" w:rsidP="004C3F2B">
      <w:pPr>
        <w:pStyle w:val="NeniNr"/>
      </w:pPr>
    </w:p>
    <w:p w:rsidR="004C3F2B" w:rsidRPr="00ED00CA" w:rsidRDefault="004C3F2B" w:rsidP="004C3F2B">
      <w:pPr>
        <w:pStyle w:val="NeniNr"/>
      </w:pPr>
      <w:r w:rsidRPr="00ED00CA">
        <w:t>Neni 32</w:t>
      </w:r>
    </w:p>
    <w:p w:rsidR="004C3F2B" w:rsidRPr="00ED00CA" w:rsidRDefault="004C3F2B" w:rsidP="004C3F2B">
      <w:pPr>
        <w:pStyle w:val="NeniTitull"/>
      </w:pPr>
      <w:r w:rsidRPr="00ED00CA">
        <w:t>Hyrja në fuqi</w:t>
      </w:r>
    </w:p>
    <w:p w:rsidR="004C3F2B" w:rsidRPr="00ED00CA" w:rsidRDefault="004C3F2B" w:rsidP="004C3F2B">
      <w:pPr>
        <w:pStyle w:val="Paragrafi"/>
        <w:rPr>
          <w:szCs w:val="22"/>
        </w:rPr>
      </w:pPr>
    </w:p>
    <w:p w:rsidR="004C3F2B" w:rsidRPr="00ED00CA" w:rsidRDefault="004C3F2B" w:rsidP="004C3F2B">
      <w:pPr>
        <w:pStyle w:val="Paragrafi"/>
        <w:rPr>
          <w:szCs w:val="22"/>
        </w:rPr>
      </w:pPr>
      <w:r w:rsidRPr="00ED00CA">
        <w:rPr>
          <w:szCs w:val="22"/>
        </w:rPr>
        <w:t>Ky ligj hyn në fuqi 15 ditë pas botimit në Fletoren Zyrtare.</w:t>
      </w:r>
    </w:p>
    <w:p w:rsidR="004C3F2B" w:rsidRPr="00ED00CA" w:rsidRDefault="004C3F2B" w:rsidP="004C3F2B">
      <w:pPr>
        <w:pStyle w:val="Paragrafi"/>
        <w:rPr>
          <w:b/>
          <w:szCs w:val="22"/>
        </w:rPr>
      </w:pPr>
    </w:p>
    <w:p w:rsidR="004C3F2B" w:rsidRPr="0093617A" w:rsidRDefault="004C3F2B" w:rsidP="004C3F2B">
      <w:pPr>
        <w:pStyle w:val="Shpallja"/>
      </w:pPr>
      <w:r>
        <w:t>Shpallur me dekretin nr.5116</w:t>
      </w:r>
      <w:r w:rsidRPr="0093617A">
        <w:t xml:space="preserve">, datë </w:t>
      </w:r>
      <w:r>
        <w:t xml:space="preserve">20.11.2006 </w:t>
      </w:r>
      <w:r w:rsidRPr="0093617A">
        <w:t>të Presidentit të Republikës së Shqipërisë, Alfred Moisiu</w:t>
      </w:r>
    </w:p>
    <w:p w:rsidR="004C3F2B" w:rsidRPr="000A40C6" w:rsidRDefault="004C3F2B" w:rsidP="004C3F2B">
      <w:pPr>
        <w:pStyle w:val="Paragrafi"/>
        <w:rPr>
          <w:b/>
          <w:szCs w:val="22"/>
          <w:lang w:val="sq-AL"/>
        </w:rPr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3F2B"/>
    <w:rsid w:val="004C3F2B"/>
    <w:rsid w:val="00526303"/>
    <w:rsid w:val="005F0A5E"/>
    <w:rsid w:val="007A4CCA"/>
    <w:rsid w:val="00A61826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18C867-5267-43CE-85C6-F5862F89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C3F2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2019-03-16T14:07:00Z</dcterms:created>
  <dcterms:modified xsi:type="dcterms:W3CDTF">2019-03-16T14:07:00Z</dcterms:modified>
</cp:coreProperties>
</file>