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E35" w:rsidRPr="002A5623" w:rsidRDefault="00723E35" w:rsidP="00723E35">
      <w:pPr>
        <w:pStyle w:val="Akti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LIGJ</w:t>
      </w:r>
    </w:p>
    <w:p w:rsidR="00723E35" w:rsidRPr="002A5623" w:rsidRDefault="00723E35" w:rsidP="00723E35">
      <w:pPr>
        <w:pStyle w:val="NumriData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Nr.</w:t>
      </w:r>
      <w:r w:rsidR="002A5623" w:rsidRPr="002A5623">
        <w:rPr>
          <w:rFonts w:ascii="Garamond" w:hAnsi="Garamond"/>
          <w:sz w:val="24"/>
          <w:szCs w:val="24"/>
          <w:lang w:val="sq-AL"/>
        </w:rPr>
        <w:t xml:space="preserve"> </w:t>
      </w:r>
      <w:r w:rsidRPr="002A5623">
        <w:rPr>
          <w:rFonts w:ascii="Garamond" w:hAnsi="Garamond"/>
          <w:sz w:val="24"/>
          <w:szCs w:val="24"/>
        </w:rPr>
        <w:t>9710, datë 10.4.2007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Titulli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PËR PORTET TURISTIKE NË REPUBLIKËN E SHQIPËRISË</w:t>
      </w:r>
    </w:p>
    <w:p w:rsidR="00723E35" w:rsidRPr="002A5623" w:rsidRDefault="002A5623" w:rsidP="002A562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A5623">
        <w:rPr>
          <w:rFonts w:ascii="Garamond" w:hAnsi="Garamond"/>
          <w:i/>
          <w:sz w:val="24"/>
          <w:szCs w:val="24"/>
        </w:rPr>
        <w:t>(Ndryshuar me ligjin nr. 28/2012, datë 15.3.2012)</w:t>
      </w:r>
    </w:p>
    <w:p w:rsidR="002A5623" w:rsidRPr="002A5623" w:rsidRDefault="002A5623" w:rsidP="002A5623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2A5623">
        <w:rPr>
          <w:rFonts w:ascii="Garamond" w:hAnsi="Garamond"/>
          <w:i/>
          <w:sz w:val="24"/>
          <w:szCs w:val="24"/>
        </w:rPr>
        <w:t>(i përditësuar)</w:t>
      </w:r>
    </w:p>
    <w:p w:rsidR="00723E35" w:rsidRPr="002A5623" w:rsidRDefault="00723E35" w:rsidP="002A5623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 xml:space="preserve">Në mbështetje të neneve 78 dhe 83 pika 1 të Kushtetutës, me propozimin e Këshillit të Ministrave, 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2A5623">
        <w:rPr>
          <w:rFonts w:ascii="Garamond" w:hAnsi="Garamond"/>
          <w:sz w:val="24"/>
          <w:szCs w:val="24"/>
          <w:lang w:val="it-IT"/>
        </w:rPr>
        <w:t>KUVENDI</w:t>
      </w:r>
    </w:p>
    <w:p w:rsidR="00723E35" w:rsidRPr="002A5623" w:rsidRDefault="00723E35" w:rsidP="00723E35">
      <w:pPr>
        <w:pStyle w:val="Institucioni"/>
        <w:keepNext w:val="0"/>
        <w:rPr>
          <w:rFonts w:ascii="Garamond" w:hAnsi="Garamond"/>
          <w:sz w:val="24"/>
          <w:szCs w:val="24"/>
          <w:lang w:val="it-IT"/>
        </w:rPr>
      </w:pPr>
      <w:r w:rsidRPr="002A5623">
        <w:rPr>
          <w:rFonts w:ascii="Garamond" w:hAnsi="Garamond"/>
          <w:sz w:val="24"/>
          <w:szCs w:val="24"/>
          <w:lang w:val="it-IT"/>
        </w:rPr>
        <w:t>I REPUBLIKËS SË SHQIPËRISË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3E35" w:rsidRPr="002A5623" w:rsidRDefault="00723E35" w:rsidP="00723E35">
      <w:pPr>
        <w:pStyle w:val="VENDOSI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VENDOSI: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3E35" w:rsidRPr="002A5623" w:rsidRDefault="00723E35" w:rsidP="00723E35">
      <w:pPr>
        <w:pStyle w:val="Kreu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 xml:space="preserve">KREU I </w:t>
      </w:r>
    </w:p>
    <w:p w:rsidR="00723E35" w:rsidRPr="002A5623" w:rsidRDefault="00723E35" w:rsidP="00723E35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DISPOZITA TË PËRGJITHSHME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 xml:space="preserve">Neni l 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Qëllimi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Qëllimi i këtij ligji është përcaktimi i rregullave dhe i kritereve që zbatohen për ndërtimin, funksionimin dhe administrimin e porteve turistike, për trafikun ndërkombëtar dhe kombëtar e të pontileve të përhershme dhe të përkohshme.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2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Fusha e zbatimit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Ky ligj zbatohet për portet turistike përgjatë vijës bregdetare dhe në ujërat e brendshme të lundrueshme të Republikës së Shqipërisë.</w:t>
      </w:r>
    </w:p>
    <w:p w:rsidR="00723E35" w:rsidRPr="002A5623" w:rsidRDefault="00723E35" w:rsidP="00723E35">
      <w:pPr>
        <w:pStyle w:val="NeniNr"/>
        <w:keepNext w:val="0"/>
        <w:jc w:val="left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3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Përkufizime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Në këtë ligj, termat e mëposhtëm kanë këto kuptime: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1. “Port” është një pjesë e territorit tokësor të bregdetit, territorit detar, liqenor dhe ujor, i përcaktuar për të pranuar mjete lundruese.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2. “Pontile” janë zgjatime të bregut, të përgatitura posaçërisht për akostimin e mjeteve lundruese.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3. “Administrata e portit turistik” është personi juridik, i cili ka fituar të drejtën e krijimit dhe të administrimit të portit turistik, në bazë të akteve ligjore dhe nënligjore.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4. “Ujëra të brendshme, të lundrueshme” janë të gjitha ujërat e liqeneve dhe të lumenjve, të përshtatshme për lundrimin e mjeteve turistike.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5. “Lundrime turistike” janë lundrimet që kryhen me qëllim argëtues, zbavitës, njohës e sportiv.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6. “Mjete për lundrime turistike” janë mjete të caktuara për kryerjen e veprimtarisë turistike dhe të regjistruara si të tilla në regjistrat përkatës.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7. “Operatorë turistikë” janë të gjitha ato subjekte juridike, që veprojnë në fushën e turizmit ujor dhe që kanë fituar të drejtën e ushtrimit të kësaj veprimtarie nga Ministria e Turizmit, Kulturës, Rinisë dhe Sporteve.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4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Klasifikimi i porteve turistike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Portet dhe pontilet turistike klasifikohen në: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a) porte turistike për trafikun ndërkombëtar;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b) porte turistike për trafikun kombëtar;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 xml:space="preserve">c) pontile të përhershme; 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ç) pontile të përkohshme.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5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Veprimtaritë e lejuara në portet turistike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Në portet turistike për trafik ndërkombëtar dhe kombëtar lejohet të kryhen veprimtaritë e mëposhtme: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1. Qëndrimi i përkohshëm i mjeteve lundruese turistike.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2. Parkimi i mjeteve lundruese turistike në vendet e caktuara, brenda hapësirës ujore dhe tokësore të portit.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3. Mirëmbajtja e mjeteve lundruese turistike.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4. Veprimtaria e operatorëve turistikë.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5. Shërbimi i akomodimit dhe i shërbimeve të tjera në funksion të turizmit.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6. Veprimtari të tjera turistike, të përcaktuara me akte ligjore dhe nënligjore.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Veprimtaritë e lejuara dhe mënyra e rregullimit të tyre në portet turistike përcaktohen në rregulloret e përgjithshme dhe/ose specifike, të miratuara nga Këshilli i Ministrave.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6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Mënyra e ndërtimit të porteve turistike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Ndërtimi me koncesion i porteve turistike për trafik ndërkombëtar dhe kombëtar, si dhe i pontileve të përhershme bëhet në përputhje me legjislacionin në fuqi për koncesionet.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Leja e ndërtimit të tyre jepet nga Këshilli i Rregullimit të Territorit të Republikës së Shqipërisë, sipas ligjit nr.8405, datë 17.9.1998 “Për urbanistikën”, të ndryshuar.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Leja e ndërtimit të pontileve të përkohshme jepet nga Këshilli i Rregullimit të Territorit me afat deri në një vit.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7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Ndërtimi i porteve turistike</w:t>
      </w:r>
    </w:p>
    <w:p w:rsidR="00ED73F0" w:rsidRPr="002A5623" w:rsidRDefault="00ED73F0" w:rsidP="00ED73F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2A5623">
        <w:rPr>
          <w:rFonts w:ascii="Garamond" w:hAnsi="Garamond"/>
          <w:i/>
          <w:sz w:val="24"/>
          <w:szCs w:val="24"/>
        </w:rPr>
        <w:t>(</w:t>
      </w:r>
      <w:r>
        <w:rPr>
          <w:rFonts w:ascii="Garamond" w:hAnsi="Garamond"/>
          <w:i/>
          <w:sz w:val="24"/>
          <w:szCs w:val="24"/>
        </w:rPr>
        <w:t>Shtuar paragrafi i</w:t>
      </w:r>
      <w:bookmarkStart w:id="0" w:name="_GoBack"/>
      <w:bookmarkEnd w:id="0"/>
      <w:r>
        <w:rPr>
          <w:rFonts w:ascii="Garamond" w:hAnsi="Garamond"/>
          <w:i/>
          <w:sz w:val="24"/>
          <w:szCs w:val="24"/>
        </w:rPr>
        <w:t xml:space="preserve"> tretë</w:t>
      </w:r>
      <w:r w:rsidRPr="002A5623">
        <w:rPr>
          <w:rFonts w:ascii="Garamond" w:hAnsi="Garamond"/>
          <w:i/>
          <w:sz w:val="24"/>
          <w:szCs w:val="24"/>
        </w:rPr>
        <w:t xml:space="preserve"> me ligjin nr. 28/2012, datë 15.3.2012)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Portet turistike dhe pontilet e përhershme ndërtohen në vendet e përcaktuara nga studimet dhe/ose masterplanet e miratuara nga Këshilli i Rregullimit të Territorit të Republikës së Shqipërisë.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Portet turistike dhe pontilet e përhershme ndërtohen sipas parametrave të përcaktuar në manualin teknik të ndërtimit të porteve turistike. Manuali teknik dhe kriteret miratohen me vendim të Këshillit të Ministrave, me propozimin e ministrit përgjegjës për portet.</w:t>
      </w:r>
    </w:p>
    <w:p w:rsidR="00723E35" w:rsidRPr="00ED73F0" w:rsidRDefault="00ED73F0" w:rsidP="00723E35">
      <w:pPr>
        <w:pStyle w:val="Paragrafi"/>
        <w:rPr>
          <w:rFonts w:ascii="Garamond" w:hAnsi="Garamond"/>
          <w:sz w:val="24"/>
          <w:szCs w:val="24"/>
        </w:rPr>
      </w:pPr>
      <w:r w:rsidRPr="00ED73F0">
        <w:rPr>
          <w:rFonts w:ascii="Garamond" w:hAnsi="Garamond"/>
          <w:sz w:val="24"/>
          <w:szCs w:val="24"/>
          <w:lang w:val="sq-AL"/>
        </w:rPr>
        <w:t>Në funksion të ndërtimit të  porteve turistike e pontileve të përkohshme, si dhe të ndërtimit të objekteve të tjera, në funksion të veprimtarisë së portit, subjektet private pajisen me leje administrative për përdorimin e pronës së paluajtshme publike nga/ose nëpërmjet Qendrës Kombëtare të Licencimit.</w:t>
      </w:r>
    </w:p>
    <w:p w:rsidR="00ED73F0" w:rsidRPr="00ED73F0" w:rsidRDefault="00ED73F0" w:rsidP="00723E35">
      <w:pPr>
        <w:pStyle w:val="Paragrafi"/>
        <w:rPr>
          <w:rFonts w:ascii="Garamond" w:hAnsi="Garamond"/>
          <w:color w:val="FF0000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8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Shpallja e porteve turistike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Shpallja e porteve turistike të hapura për trafik ndërkombëtar dhe kombëtar, si dhe e pontileve të përhershme bëhet me vendim të Këshillit të Ministrave, me propozimin e ministrit përgjegjës për portet, në mbështetje të pikave 6 e 7 të nenit 18 të ligjit nr.9251, datë 8.7.2004 “Kodi Detar i Republikës së Shqipërisë”.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Shpallja e pontileve turistike të përkohshme bëhet me vendim të këshillit të qarkut, me propozimin e kryetarit të njësisë vendore, që ka në juridiksion territorin ku ndodhet pontili, sipas kritereve të miratuara nga Këshilli i Ministrave.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9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Kontrolli shtetëror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Në portet turistike për trafik ndërkombëtar e kombëtar dhe në pontile, institucionet përgjegjëse, sipas përgjegjësive të fushës së veprimtarisë së tyre, ushtrojnë kontroll për sigurinë e mjeteve, kontroll doganor për bagazhet, kontroll për trafiqet e paligjshme e kontrabandën, si dhe ndaj veprimeve terroriste e për mbrojtjen e mjedisit detar nga ndotjet.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Kreu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KREU II</w:t>
      </w:r>
    </w:p>
    <w:p w:rsidR="00723E35" w:rsidRPr="002A5623" w:rsidRDefault="00723E35" w:rsidP="00723E35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PORTET TURISTIKE PËR TRAFIK NDËRKOMBËTAR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10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Kërkesat për portet turistike për trafik ndërkombëtar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Portet turistike për trafik ndërkombëtar duhet të kenë: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a) autoritetet përgjegjëse shtetërore, për kryerjen e funksioneve të dhëna sipas ligjit (kapiteneria e portit, policia kufitare, dogana, shëndetësia, si dhe organe të tjera shtetërore);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b) administratën e portit turistik, për ushtrimin e veprimtarisë brenda kërkesave të ligjit;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c) të gjithë infrastrukturën e nevojshme bazë e atë operative, si dhe masat e tjera teknike, që lidhen me sigurinë e pronës e të jetës së njeriut në det dhe të mbrojtjes së mjedisit detar nga ndotjet.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11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Trafiku në portet ndërkombëtare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Portet turistike për trafik ndërkombëtar shërbejnë për të mundësuar trafikun e mjeteve turistike nga/për në Republikën e Shqipërisë, portet turistike kombëtare, si dhe pontilet e përhershme e të përkohshme.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Kreu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KREU III</w:t>
      </w:r>
    </w:p>
    <w:p w:rsidR="00723E35" w:rsidRPr="002A5623" w:rsidRDefault="00723E35" w:rsidP="00723E35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PORTET TURISTIKE PËR TRAFIK KOMBËTAR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12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Kërkesat për portet turistike për trafik kombëtar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Portet turistike për trafik kombëtar duhet të kenë: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a) administratën e nevojshme, për ushtrimin e veprimtarisë dhe kryerjen e funksioneve të parashikuara në ligj;</w:t>
      </w:r>
    </w:p>
    <w:p w:rsidR="00723E35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b) infrastrukturën e nevojshme bazë e atë operative, si dhe masat e tjera teknike, që lidhen me sigurinë e pronës e të jetës së njeriut në det dhe të mbrojtjes së mjedisit detar nga ndotjet.</w:t>
      </w:r>
    </w:p>
    <w:p w:rsidR="002A5623" w:rsidRPr="002A5623" w:rsidRDefault="002A5623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2A5623">
        <w:rPr>
          <w:rFonts w:ascii="Garamond" w:hAnsi="Garamond"/>
          <w:sz w:val="24"/>
          <w:szCs w:val="24"/>
          <w:lang w:val="it-IT"/>
        </w:rPr>
        <w:t>Neni 13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2A5623">
        <w:rPr>
          <w:rFonts w:ascii="Garamond" w:hAnsi="Garamond"/>
          <w:sz w:val="24"/>
          <w:szCs w:val="24"/>
          <w:lang w:val="it-IT"/>
        </w:rPr>
        <w:lastRenderedPageBreak/>
        <w:t>Trafiku në portet kombëtare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Portet turistike për trafik kombëtar shërbejnë për të mundësuar trafikun e mjeteve turistike nga/për në të gjitha portet ndërkombëtare të Republikës së Shqipërisë, portet turistike kombëtare, si dhe pontilet e përhershme e të përkohshme.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Kreu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KREU IV</w:t>
      </w:r>
    </w:p>
    <w:p w:rsidR="00723E35" w:rsidRPr="002A5623" w:rsidRDefault="00723E35" w:rsidP="00723E35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PONTILET TURISTIKE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14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Pontilet e përhershme dhe të përkohshme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Mjetet turistike veprojnë në pontilet e përhershme dhe të përkohshme për në/nga të gjitha portet turistike për trafik ndërkombëtar dhe kombëtar të Republikës së Shqipërisë.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Në pontilet e përhershme dhe të përkohshme lejohet të kryhet veprimtaria e përmendur në pikën 1 të nenit 5 të këtij ligji.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Kreu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KREU V</w:t>
      </w:r>
    </w:p>
    <w:p w:rsidR="00723E35" w:rsidRPr="002A5623" w:rsidRDefault="00723E35" w:rsidP="00723E35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E DREJTA MBI HAPËSIRËN DETARE DHE BREGDETIN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15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 xml:space="preserve">Zbatimi i konventës së Kombeve të Bashkuara “Për të drejtën e detit” dhe të konventave 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të tjera detare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1. Në të gjitha portet turistike për trafik ndërkombëtar dhe kombëtar, në pontilet e përhershme dhe të përkohshme, institucioni përgjegjës zbaton kompetencat dhe standardet e kërkuara nga konventa ndërkombëtare “Për të drejtën e detit”, konventat ndërkombëtare detare dhe legjislacioni në fuqi në Republikën e Shqipërisë.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2. Veprimtaria lundruese e mjeteve lundruese turistike rregullohet në bazë të legjislacionit kombëtar dhe ndërkombëtar, si dhe të marrëveshjeve dypalëshe dhe shumëpalëshe, të ratifikuara nga Kuvendi i Republikës së Shqipërisë.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Kreu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KREU VI</w:t>
      </w:r>
    </w:p>
    <w:p w:rsidR="00723E35" w:rsidRPr="002A5623" w:rsidRDefault="00723E35" w:rsidP="00723E35">
      <w:pPr>
        <w:pStyle w:val="Kreu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DISPOZITA TË VEÇANTA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16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E drejta e ushtrimit të veprimtarisë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Veprimtaritë e lejuara në portet turistike, sipas nenit 5 të këtij ligji, kryhen pas marrjes së lejes së veprimtarisë nga organet përgjegjëse, në mbështetje të legjislacionit në fuqi.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17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Kundërvajtjet dhe sanksionet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Për veprat e kundërligjshme detare, të cilat kanë lidhje me sigurinë e mjeteve lundruese, zbatimin e legjislacionit për ndotjen e mjedisit detar, zbatimin e legjislacionit për regjimin e lundrimit në ujërat territoriale dhe ato të brendshme të Republikës së Shqipërisë, zbatohen procedurat dhe sanksionet e përcaktuara në pjesën e tetë, neni 369 deri në nenin 395 të ligjit nr.9251, datë 8.7.2004 “Kodi Detar i Republikës së Shqipërisë”.</w:t>
      </w:r>
    </w:p>
    <w:p w:rsidR="00723E35" w:rsidRPr="002A5623" w:rsidRDefault="00723E35" w:rsidP="002A5623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18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lastRenderedPageBreak/>
        <w:t>Nxjerrja e akteve nënligjore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Ngarkohet Këshilli i Ministrave të nxjerrë aktet nënligjore në zbatim të neneve 5, 6, 7 e 8 paragrafi i dytë të këtij ligji.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NeniNr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Neni 19</w:t>
      </w:r>
    </w:p>
    <w:p w:rsidR="00723E35" w:rsidRPr="002A5623" w:rsidRDefault="00723E35" w:rsidP="00723E35">
      <w:pPr>
        <w:pStyle w:val="NeniTitull"/>
        <w:keepNext w:val="0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Hyrja në fuqi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723E35" w:rsidRPr="002A5623" w:rsidRDefault="00723E35" w:rsidP="00723E35">
      <w:pPr>
        <w:pStyle w:val="Shpallja"/>
        <w:rPr>
          <w:rFonts w:ascii="Garamond" w:hAnsi="Garamond"/>
          <w:sz w:val="24"/>
          <w:szCs w:val="24"/>
        </w:rPr>
      </w:pPr>
      <w:r w:rsidRPr="002A5623">
        <w:rPr>
          <w:rFonts w:ascii="Garamond" w:hAnsi="Garamond"/>
          <w:sz w:val="24"/>
          <w:szCs w:val="24"/>
        </w:rPr>
        <w:t>Shpallur me dekretin nr.</w:t>
      </w:r>
      <w:r w:rsidR="002A5623" w:rsidRPr="002A5623">
        <w:rPr>
          <w:rFonts w:ascii="Garamond" w:hAnsi="Garamond"/>
          <w:sz w:val="24"/>
          <w:szCs w:val="24"/>
        </w:rPr>
        <w:t xml:space="preserve"> </w:t>
      </w:r>
      <w:r w:rsidRPr="002A5623">
        <w:rPr>
          <w:rFonts w:ascii="Garamond" w:hAnsi="Garamond"/>
          <w:sz w:val="24"/>
          <w:szCs w:val="24"/>
        </w:rPr>
        <w:t>5271, datë 17.4.2007 të Presidentit të Republikës së Shqipërisë, Alfred Moisiu</w:t>
      </w:r>
    </w:p>
    <w:p w:rsidR="00723E35" w:rsidRPr="002A5623" w:rsidRDefault="00723E35" w:rsidP="00723E35">
      <w:pPr>
        <w:pStyle w:val="Paragrafi"/>
        <w:rPr>
          <w:rFonts w:ascii="Garamond" w:hAnsi="Garamond"/>
          <w:sz w:val="24"/>
          <w:szCs w:val="24"/>
        </w:rPr>
      </w:pPr>
    </w:p>
    <w:p w:rsidR="000178C2" w:rsidRPr="002A5623" w:rsidRDefault="000178C2" w:rsidP="00723E35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2A562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CCC5A8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EC64D7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C1C40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5FCD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622AD2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C8A60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17E3C0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44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320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E10CF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E35"/>
    <w:rsid w:val="000178C2"/>
    <w:rsid w:val="002A5623"/>
    <w:rsid w:val="00410E2B"/>
    <w:rsid w:val="00723E35"/>
    <w:rsid w:val="00C84B66"/>
    <w:rsid w:val="00ED73F0"/>
    <w:rsid w:val="00F3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1AB56"/>
  <w15:chartTrackingRefBased/>
  <w15:docId w15:val="{CFEF5141-973D-4F76-93CB-FCF81A88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E6D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F33E6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33E6D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F33E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F33E6D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F33E6D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F33E6D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F33E6D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F33E6D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F33E6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F33E6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F33E6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33E6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F33E6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33E6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F33E6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F33E6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F33E6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F33E6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F33E6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F33E6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F33E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styleId="BlockText">
    <w:name w:val="Block Text"/>
    <w:basedOn w:val="Normal"/>
    <w:rsid w:val="00F33E6D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F33E6D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F33E6D"/>
    <w:pPr>
      <w:ind w:left="1077"/>
    </w:pPr>
  </w:style>
  <w:style w:type="paragraph" w:styleId="BodyTextIndent2">
    <w:name w:val="Body Text Indent 2"/>
    <w:basedOn w:val="Normal"/>
    <w:rsid w:val="00F33E6D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F33E6D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F33E6D"/>
    <w:pPr>
      <w:spacing w:after="120"/>
    </w:pPr>
  </w:style>
  <w:style w:type="paragraph" w:customStyle="1" w:styleId="extraclauses">
    <w:name w:val="extra_clauses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F33E6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F33E6D"/>
    <w:pPr>
      <w:tabs>
        <w:tab w:val="center" w:pos="4320"/>
        <w:tab w:val="right" w:pos="8640"/>
      </w:tabs>
    </w:pPr>
  </w:style>
  <w:style w:type="paragraph" w:customStyle="1" w:styleId="footnote">
    <w:name w:val="footnote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F33E6D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F33E6D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F33E6D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F33E6D"/>
    <w:rPr>
      <w:color w:val="0000FF"/>
      <w:u w:val="single"/>
    </w:rPr>
  </w:style>
  <w:style w:type="paragraph" w:customStyle="1" w:styleId="Institucioni">
    <w:name w:val="Institucioni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F33E6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F33E6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F33E6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link w:val="NeniTitullChar"/>
    <w:rsid w:val="00F33E6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F33E6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F33E6D"/>
    <w:pPr>
      <w:ind w:firstLine="720"/>
    </w:pPr>
    <w:rPr>
      <w:rFonts w:ascii="CG Times" w:hAnsi="CG Times"/>
      <w:sz w:val="22"/>
      <w:lang w:val="en-US" w:eastAsia="en-US"/>
    </w:rPr>
  </w:style>
  <w:style w:type="paragraph" w:styleId="NormalIndent">
    <w:name w:val="Normal Indent"/>
    <w:basedOn w:val="Normal"/>
    <w:rsid w:val="00F33E6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F33E6D"/>
    <w:pPr>
      <w:spacing w:after="120"/>
      <w:jc w:val="both"/>
    </w:pPr>
    <w:rPr>
      <w:rFonts w:ascii="Bookman Old Style" w:eastAsia="Times New Roman" w:hAnsi="Bookman Old Style"/>
      <w:szCs w:val="20"/>
    </w:rPr>
  </w:style>
  <w:style w:type="paragraph" w:customStyle="1" w:styleId="numberedindent">
    <w:name w:val="numberedindent"/>
    <w:rsid w:val="00F33E6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F33E6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styleId="PageNumber">
    <w:name w:val="page number"/>
    <w:basedOn w:val="DefaultParagraphFont"/>
    <w:rsid w:val="00F33E6D"/>
  </w:style>
  <w:style w:type="paragraph" w:customStyle="1" w:styleId="Paragrafi">
    <w:name w:val="Paragrafi"/>
    <w:rsid w:val="00F33E6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F33E6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F33E6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F33E6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F33E6D"/>
    <w:rPr>
      <w:rFonts w:ascii="CG Times" w:hAnsi="CG Times"/>
      <w:sz w:val="22"/>
      <w:lang w:eastAsia="en-US"/>
    </w:rPr>
  </w:style>
  <w:style w:type="table" w:styleId="TableGrid">
    <w:name w:val="Table Grid"/>
    <w:basedOn w:val="TableNormal"/>
    <w:rsid w:val="00F33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F33E6D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F33E6D"/>
    <w:pPr>
      <w:ind w:left="709"/>
      <w:jc w:val="both"/>
    </w:pPr>
    <w:rPr>
      <w:rFonts w:ascii="Arial" w:eastAsia="Times New Roman" w:hAnsi="Arial"/>
      <w:sz w:val="20"/>
      <w:szCs w:val="20"/>
      <w:lang w:val="fr-FR"/>
    </w:rPr>
  </w:style>
  <w:style w:type="paragraph" w:styleId="Title">
    <w:name w:val="Title"/>
    <w:basedOn w:val="Normal"/>
    <w:qFormat/>
    <w:rsid w:val="00F33E6D"/>
    <w:pPr>
      <w:jc w:val="center"/>
    </w:pPr>
    <w:rPr>
      <w:rFonts w:ascii="Arial" w:eastAsia="Times New Roman" w:hAnsi="Arial"/>
      <w:sz w:val="28"/>
      <w:szCs w:val="20"/>
      <w:lang w:val="en-GB"/>
    </w:rPr>
  </w:style>
  <w:style w:type="paragraph" w:customStyle="1" w:styleId="Titulli">
    <w:name w:val="Titulli"/>
    <w:next w:val="Normal"/>
    <w:link w:val="TitulliChar"/>
    <w:rsid w:val="00F33E6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F33E6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F33E6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33E6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723E35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23E3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23E3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TitullChar">
    <w:name w:val="Neni_Titull Char"/>
    <w:basedOn w:val="DefaultParagraphFont"/>
    <w:link w:val="NeniTitull"/>
    <w:rsid w:val="00723E35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1341</Words>
  <Characters>7648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Marsela Xhepa</cp:lastModifiedBy>
  <cp:revision>3</cp:revision>
  <dcterms:created xsi:type="dcterms:W3CDTF">2025-10-09T12:49:00Z</dcterms:created>
  <dcterms:modified xsi:type="dcterms:W3CDTF">2025-10-09T12:50:00Z</dcterms:modified>
</cp:coreProperties>
</file>