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E35" w:rsidRPr="00844DD2" w:rsidRDefault="00723E35" w:rsidP="00723E35">
      <w:pPr>
        <w:pStyle w:val="Akti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LIGJ</w:t>
      </w:r>
    </w:p>
    <w:p w:rsidR="00723E35" w:rsidRPr="00844DD2" w:rsidRDefault="00723E35" w:rsidP="00723E3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Nr.</w:t>
      </w:r>
      <w:r w:rsidR="002A5623" w:rsidRPr="00844DD2">
        <w:rPr>
          <w:rFonts w:ascii="Garamond" w:hAnsi="Garamond"/>
          <w:sz w:val="24"/>
          <w:szCs w:val="24"/>
          <w:lang w:val="sq-AL"/>
        </w:rPr>
        <w:t xml:space="preserve"> </w:t>
      </w:r>
      <w:r w:rsidRPr="00844DD2">
        <w:rPr>
          <w:rFonts w:ascii="Garamond" w:hAnsi="Garamond"/>
          <w:sz w:val="24"/>
          <w:szCs w:val="24"/>
        </w:rPr>
        <w:t>9710, datë 10.4.2007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Titulli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PËR PORTET TURISTIKE NË REPUBLIKËN E SHQIPËRISË</w:t>
      </w:r>
    </w:p>
    <w:p w:rsidR="00723E35" w:rsidRPr="00844DD2" w:rsidRDefault="002A5623" w:rsidP="002A562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44DD2">
        <w:rPr>
          <w:rFonts w:ascii="Garamond" w:hAnsi="Garamond"/>
          <w:i/>
          <w:sz w:val="24"/>
          <w:szCs w:val="24"/>
        </w:rPr>
        <w:t>(Ndryshuar me ligjin nr. 28/2012, datë 15.3.2012</w:t>
      </w:r>
      <w:r w:rsidR="000079D8" w:rsidRPr="00844DD2">
        <w:rPr>
          <w:rFonts w:ascii="Garamond" w:hAnsi="Garamond"/>
          <w:i/>
          <w:sz w:val="24"/>
          <w:szCs w:val="24"/>
        </w:rPr>
        <w:t>; nr. 36/2026, datë 9.4.2026</w:t>
      </w:r>
      <w:r w:rsidRPr="00844DD2">
        <w:rPr>
          <w:rFonts w:ascii="Garamond" w:hAnsi="Garamond"/>
          <w:i/>
          <w:sz w:val="24"/>
          <w:szCs w:val="24"/>
        </w:rPr>
        <w:t>)</w:t>
      </w:r>
    </w:p>
    <w:p w:rsidR="002A5623" w:rsidRPr="00844DD2" w:rsidRDefault="002A5623" w:rsidP="002A562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44DD2">
        <w:rPr>
          <w:rFonts w:ascii="Garamond" w:hAnsi="Garamond"/>
          <w:i/>
          <w:sz w:val="24"/>
          <w:szCs w:val="24"/>
        </w:rPr>
        <w:t>(i përditësuar)</w:t>
      </w:r>
    </w:p>
    <w:p w:rsidR="00723E35" w:rsidRPr="00844DD2" w:rsidRDefault="00723E35" w:rsidP="002A562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 xml:space="preserve">Në mbështetje të neneve 78 dhe 83 pika 1 të Kushtetutës, me propozimin e Këshillit të Ministrave, 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844DD2">
        <w:rPr>
          <w:rFonts w:ascii="Garamond" w:hAnsi="Garamond"/>
          <w:sz w:val="24"/>
          <w:szCs w:val="24"/>
          <w:lang w:val="it-IT"/>
        </w:rPr>
        <w:t>KUVENDI</w:t>
      </w:r>
    </w:p>
    <w:p w:rsidR="00723E35" w:rsidRPr="00844DD2" w:rsidRDefault="00723E35" w:rsidP="00723E35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844DD2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844DD2" w:rsidRDefault="00723E35" w:rsidP="00723E35">
      <w:pPr>
        <w:pStyle w:val="VENDOSI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VENDOSI: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844DD2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 xml:space="preserve">KREU I </w:t>
      </w:r>
    </w:p>
    <w:p w:rsidR="00723E35" w:rsidRPr="00844DD2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DISPOZITA TË PËRGJITHSHME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 xml:space="preserve">Neni l 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Qëllimi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Qëllimi i këtij ligji është përcaktimi i rregullave dhe i kritereve që zbatohen për ndërtimin, funksionimin dhe administrimin e porteve turistike, për trafikun ndërkombëtar dhe kombëtar e të pontileve të përhershme dhe të përkohshme.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2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Fusha e zbatimit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Ky ligj zbatohet për portet turistike përgjatë vijës bregdetare dhe në ujërat e brendshme të lundrueshme të Republikës së Shqipërisë.</w:t>
      </w:r>
    </w:p>
    <w:p w:rsidR="00723E35" w:rsidRPr="00844DD2" w:rsidRDefault="00723E35" w:rsidP="00723E35">
      <w:pPr>
        <w:pStyle w:val="NeniNr"/>
        <w:keepNext w:val="0"/>
        <w:jc w:val="left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3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Përkufizime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Në këtë ligj, termat e mëposhtëm kanë këto kuptime: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1. “Port” është një pjesë e territorit tokësor të bregdetit, territorit detar, liqenor dhe ujor, i përcaktuar për të pranuar mjete lundruese.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2. “Pontile” janë zgjatime të bregut, të përgatitura posaçërisht për akostimin e mjeteve lundruese.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3. “Administrata e portit turistik” është personi juridik, i cili ka fituar të drejtën e krijimit dhe të administrimit të portit turistik, në bazë të akteve ligjore dhe nënligjore.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4. “Ujëra të brendshme, të lundrueshme” janë të gjitha ujërat e liqeneve dhe të lumenjve, të përshtatshme për lundrimin e mjeteve turistike.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5. “Lundrime turistike” janë lundrimet që kryhen me qëllim argëtues, zbavitës, njohës e sportiv.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6. “Mjete për lundrime turistike” janë mjete të caktuara për kryerjen e veprimtarisë turistike dhe të regjistruara si të tilla në regjistrat përkatës.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7. “Operatorë turistikë” janë të gjitha ato subjekte juridike, që veprojnë në fushën e turizmit ujor dhe që kanë fituar të drejtën e ushtrimit të kësaj veprimtarie nga Ministria e Turizmit, Kulturës, Rinisë dhe Sporteve.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4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Klasifikimi i porteve turistike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dhe pontilet turistike klasifikohen në: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a) porte turistike për trafikun ndërkombëtar;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b) porte turistike për trafikun kombëtar;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 xml:space="preserve">c) pontile të përhershme; 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ç) pontile të përkohshme.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5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Veprimtaritë e lejuara në portet turistike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Në portet turistike për trafik ndërkombëtar dhe kombëtar lejohet të kryhen veprimtaritë e mëposhtme: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1. Qëndrimi i përkohshëm i mjeteve lundruese turistike.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2. Parkimi i mjeteve lundruese turistike në vendet e caktuara, brenda hapësirës ujore dhe tokësore të portit.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3. Mirëmbajtja e mjeteve lundruese turistike.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4. Veprimtaria e operatorëve turistikë.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5. Shërbimi i akomodimit dhe i shërbimeve të tjera në funksion të turizmit.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6. Veprimtari të tjera turistike, të përcaktuara me akte ligjore dhe nënligjore.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Veprimtaritë e lejuara dhe mënyra e rregullimit të tyre në portet turistike përcaktohen në rregulloret e përgjithshme dhe/ose specifike, të miratuara nga Këshilli i Ministrave.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6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Mënyra e ndërtimit të porteve turistike</w:t>
      </w:r>
    </w:p>
    <w:p w:rsidR="00723E35" w:rsidRPr="00844DD2" w:rsidRDefault="000079D8" w:rsidP="000079D8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844DD2">
        <w:rPr>
          <w:rFonts w:ascii="Garamond" w:hAnsi="Garamond"/>
          <w:i/>
          <w:sz w:val="24"/>
          <w:szCs w:val="24"/>
        </w:rPr>
        <w:t>(Shtuar paragraf</w:t>
      </w:r>
      <w:r w:rsidRPr="00844DD2">
        <w:rPr>
          <w:rFonts w:ascii="Garamond" w:hAnsi="Garamond"/>
          <w:i/>
          <w:sz w:val="24"/>
          <w:szCs w:val="24"/>
        </w:rPr>
        <w:t>i i dytë</w:t>
      </w:r>
      <w:r w:rsidRPr="00844DD2">
        <w:rPr>
          <w:rFonts w:ascii="Garamond" w:hAnsi="Garamond"/>
          <w:i/>
          <w:sz w:val="24"/>
          <w:szCs w:val="24"/>
        </w:rPr>
        <w:t xml:space="preserve"> me ligjin nr.</w:t>
      </w:r>
      <w:r w:rsidRPr="00844DD2">
        <w:rPr>
          <w:rFonts w:ascii="Garamond" w:hAnsi="Garamond"/>
          <w:i/>
          <w:sz w:val="24"/>
          <w:szCs w:val="24"/>
          <w:lang w:val="it-IT"/>
        </w:rPr>
        <w:t xml:space="preserve"> 36/2026, datë 9.4.2026)</w:t>
      </w:r>
    </w:p>
    <w:p w:rsidR="000079D8" w:rsidRPr="00844DD2" w:rsidRDefault="000079D8" w:rsidP="000079D8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Ndërtimi me koncesion i porteve turistike për trafik ndërkombëtar dhe kombëtar, si dhe i pontileve të përhershme bëhet në përputhje me legjislacionin në fuqi për koncesionet.</w:t>
      </w:r>
    </w:p>
    <w:p w:rsidR="000079D8" w:rsidRPr="000079D8" w:rsidRDefault="000079D8" w:rsidP="000079D8">
      <w:pPr>
        <w:ind w:firstLine="720"/>
        <w:jc w:val="both"/>
        <w:rPr>
          <w:rFonts w:ascii="Garamond" w:eastAsiaTheme="minorHAnsi" w:hAnsi="Garamond"/>
          <w:color w:val="000000" w:themeColor="text1"/>
          <w:lang w:val="sq-AL"/>
        </w:rPr>
      </w:pPr>
      <w:r w:rsidRPr="000079D8">
        <w:rPr>
          <w:rFonts w:ascii="Garamond" w:eastAsiaTheme="minorHAnsi" w:hAnsi="Garamond"/>
          <w:color w:val="000000" w:themeColor="text1"/>
          <w:lang w:val="sq-AL"/>
        </w:rPr>
        <w:t>Kur një subjekti i është dhënë statusi “Investim/investitor strategjik, procedurë e asistuar/e veçantë” nga Komiteti i Investimeve Strategjike dhe njëkohësisht porti/et turistik/e janë pjesë përbërëse e një investimi strategjik, të mirat</w:t>
      </w:r>
      <w:bookmarkStart w:id="0" w:name="_GoBack"/>
      <w:bookmarkEnd w:id="0"/>
      <w:r w:rsidRPr="000079D8">
        <w:rPr>
          <w:rFonts w:ascii="Garamond" w:eastAsiaTheme="minorHAnsi" w:hAnsi="Garamond"/>
          <w:color w:val="000000" w:themeColor="text1"/>
          <w:lang w:val="sq-AL"/>
        </w:rPr>
        <w:t>uar nga KIS-ja, ndërtimi dhe operimi i porteve turistike përjashtohet nga parashikimi i paragrafit të parë të këtij neni. Ndërtimi dhe operimi i portit/eve turistik/e kryhet nga subjekti që i është dhënë statusi “Investim/investitor strategjik, procedurë e asistuar/e veçantë”.</w:t>
      </w:r>
    </w:p>
    <w:p w:rsidR="000079D8" w:rsidRPr="00844DD2" w:rsidRDefault="000079D8" w:rsidP="000079D8">
      <w:pPr>
        <w:ind w:firstLine="720"/>
        <w:jc w:val="both"/>
        <w:rPr>
          <w:rFonts w:ascii="Garamond" w:hAnsi="Garamond"/>
        </w:rPr>
      </w:pPr>
      <w:r w:rsidRPr="000079D8">
        <w:rPr>
          <w:rFonts w:ascii="Garamond" w:eastAsiaTheme="minorHAnsi" w:hAnsi="Garamond"/>
          <w:color w:val="000000" w:themeColor="text1"/>
          <w:lang w:val="sq-AL"/>
        </w:rPr>
        <w:t>Procedurat, rregullat dhe dokumentacioni i nevojshëm për lidhjen e kontratës për ndërtimin dhe operimin e portit/eve turistike përcaktohen me vendim të Këshillit të Ministrave.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Leja e ndërtimit të tyre jepet nga Këshilli i Rregullimit të Territorit të Republikës së Shqipërisë, sipas ligjit nr.8405, datë 17.9.1998 “Për urbanistikën”, të ndryshuar.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Leja e ndërtimit të pontileve të përkohshme jepet nga Këshilli i Rregullimit të Territorit me afat deri në një vit.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7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Ndërtimi i porteve turistike</w:t>
      </w:r>
    </w:p>
    <w:p w:rsidR="00ED73F0" w:rsidRPr="00844DD2" w:rsidRDefault="00ED73F0" w:rsidP="00ED73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44DD2">
        <w:rPr>
          <w:rFonts w:ascii="Garamond" w:hAnsi="Garamond"/>
          <w:i/>
          <w:sz w:val="24"/>
          <w:szCs w:val="24"/>
        </w:rPr>
        <w:t>(Shtuar paragrafi i tretë me ligjin nr. 28/2012, datë 15.3.2012)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turistike dhe pontilet e përhershme ndërtohen në vendet e përcaktuara nga studimet dhe/ose masterplanet e miratuara nga Këshilli i Rregullimit të Territorit të Republikës së Shqipërisë.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 xml:space="preserve">Portet turistike dhe pontilet e përhershme ndërtohen sipas parametrave të përcaktuar në </w:t>
      </w:r>
      <w:r w:rsidRPr="00844DD2">
        <w:rPr>
          <w:rFonts w:ascii="Garamond" w:hAnsi="Garamond"/>
          <w:sz w:val="24"/>
          <w:szCs w:val="24"/>
        </w:rPr>
        <w:lastRenderedPageBreak/>
        <w:t>manualin teknik të ndërtimit të porteve turistike. Manuali teknik dhe kriteret miratohen me vendim të Këshillit të Ministrave, me propozimin e ministrit përgjegjës për portet.</w:t>
      </w:r>
    </w:p>
    <w:p w:rsidR="00723E35" w:rsidRPr="00844DD2" w:rsidRDefault="00ED73F0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  <w:lang w:val="sq-AL"/>
        </w:rPr>
        <w:t>Në funksion të ndërtimit të  porteve turistike e pontileve të përkohshme, si dhe të ndërtimit të objekteve të tjera, në funksion të veprimtarisë së portit, subjektet private pajisen me leje administrative për përdorimin e pronës së paluajtshme publike nga/ose nëpërmjet Qendrës Kombëtare të Licencimit.</w:t>
      </w:r>
    </w:p>
    <w:p w:rsidR="00ED73F0" w:rsidRPr="00844DD2" w:rsidRDefault="00ED73F0" w:rsidP="00723E35">
      <w:pPr>
        <w:pStyle w:val="Paragrafi"/>
        <w:rPr>
          <w:rFonts w:ascii="Garamond" w:hAnsi="Garamond"/>
          <w:color w:val="FF0000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8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Shpallja e porteve turistike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Shpallja e porteve turistike të hapura për trafik ndërkombëtar dhe kombëtar, si dhe e pontileve të përhershme bëhet me vendim të Këshillit të Ministrave, me propozimin e ministrit përgjegjës për portet, në mbështetje të pikave 6 e 7 të nenit 18 të ligjit nr.9251, datë 8.7.2004 “Kodi Detar i Republikës së Shqipërisë”.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Shpallja e pontileve turistike të përkohshme bëhet me vendim të këshillit të qarkut, me propozimin e kryetarit të njësisë vendore, që ka në juridiksion territorin ku ndodhet pontili, sipas kritereve të miratuara nga Këshilli i Ministrave.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9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Kontrolli shtetëror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Në portet turistike për trafik ndërkombëtar e kombëtar dhe në pontile, institucionet përgjegjëse, sipas përgjegjësive të fushës së veprimtarisë së tyre, ushtrojnë kontroll për sigurinë e mjeteve, kontroll doganor për bagazhet, kontroll për trafiqet e paligjshme e kontrabandën, si dhe ndaj veprimeve terroriste e për mbrojtjen e mjedisit detar nga ndotjet.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KREU II</w:t>
      </w:r>
    </w:p>
    <w:p w:rsidR="00723E35" w:rsidRPr="00844DD2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TURISTIKE PËR TRAFIK NDËRKOMBËTAR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10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Kërkesat për portet turistike për trafik ndërkombëtar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turistike për trafik ndërkombëtar duhet të kenë: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a) autoritetet përgjegjëse shtetërore, për kryerjen e funksioneve të dhëna sipas ligjit (kapiteneria e portit, policia kufitare, dogana, shëndetësia, si dhe organe të tjera shtetërore);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b) administratën e portit turistik, për ushtrimin e veprimtarisë brenda kërkesave të ligjit;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c) të gjithë infrastrukturën e nevojshme bazë e atë operative, si dhe masat e tjera teknike, që lidhen me sigurinë e pronës e të jetës së njeriut në det dhe të mbrojtjes së mjedisit detar nga ndotjet.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11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Trafiku në portet ndërkombëtare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turistike për trafik ndërkombëtar shërbejnë për të mundësuar trafikun e mjeteve turistike nga/për në Republikën e Shqipërisë, portet turistike kombëtare, si dhe pontilet e përhershme e të përkohshme.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KREU III</w:t>
      </w:r>
    </w:p>
    <w:p w:rsidR="00723E35" w:rsidRPr="00844DD2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TURISTIKE PËR TRAFIK KOMBËTAR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12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lastRenderedPageBreak/>
        <w:t>Kërkesat për portet turistike për trafik kombëtar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turistike për trafik kombëtar duhet të kenë: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a) administratën e nevojshme, për ushtrimin e veprimtarisë dhe kryerjen e funksioneve të parashikuara në ligj;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b) infrastrukturën e nevojshme bazë e atë operative, si dhe masat e tjera teknike, që lidhen me sigurinë e pronës e të jetës së njeriut në det dhe të mbrojtjes së mjedisit detar nga ndotjet.</w:t>
      </w:r>
    </w:p>
    <w:p w:rsidR="002A5623" w:rsidRPr="00844DD2" w:rsidRDefault="002A5623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44DD2">
        <w:rPr>
          <w:rFonts w:ascii="Garamond" w:hAnsi="Garamond"/>
          <w:sz w:val="24"/>
          <w:szCs w:val="24"/>
          <w:lang w:val="it-IT"/>
        </w:rPr>
        <w:t>Neni 13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44DD2">
        <w:rPr>
          <w:rFonts w:ascii="Garamond" w:hAnsi="Garamond"/>
          <w:sz w:val="24"/>
          <w:szCs w:val="24"/>
          <w:lang w:val="it-IT"/>
        </w:rPr>
        <w:t>Trafiku në portet kombëtare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Portet turistike për trafik kombëtar shërbejnë për të mundësuar trafikun e mjeteve turistike nga/për në të gjitha portet ndërkombëtare të Republikës së Shqipërisë, portet turistike kombëtare, si dhe pontilet e përhershme e të përkohshme.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KREU IV</w:t>
      </w:r>
    </w:p>
    <w:p w:rsidR="00723E35" w:rsidRPr="00844DD2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PONTILET TURISTIKE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14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Pontilet e përhershme dhe të përkohshme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Mjetet turistike veprojnë në pontilet e përhershme dhe të përkohshme për në/nga të gjitha portet turistike për trafik ndërkombëtar dhe kombëtar të Republikës së Shqipërisë.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Në pontilet e përhershme dhe të përkohshme lejohet të kryhet veprimtaria e përmendur në pikën 1 të nenit 5 të këtij ligji.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KREU V</w:t>
      </w:r>
    </w:p>
    <w:p w:rsidR="00723E35" w:rsidRPr="00844DD2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E DREJTA MBI HAPËSIRËN DETARE DHE BREGDETIN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15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 xml:space="preserve">Zbatimi i konventës së Kombeve të Bashkuara “Për të drejtën e detit” dhe të konventave 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të tjera detare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1. Në të gjitha portet turistike për trafik ndërkombëtar dhe kombëtar, në pontilet e përhershme dhe të përkohshme, institucioni përgjegjës zbaton kompetencat dhe standardet e kërkuara nga konventa ndërkombëtare “Për të drejtën e detit”, konventat ndërkombëtare detare dhe legjislacioni në fuqi në Republikën e Shqipërisë.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2. Veprimtaria lundruese e mjeteve lundruese turistike rregullohet në bazë të legjislacionit kombëtar dhe ndërkombëtar, si dhe të marrëveshjeve dypalëshe dhe shumëpalëshe, të ratifikuara nga Kuvendi i Republikës së Shqipërisë.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KREU VI</w:t>
      </w:r>
    </w:p>
    <w:p w:rsidR="00723E35" w:rsidRPr="00844DD2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DISPOZITA TË VEÇANTA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16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E drejta e ushtrimit të veprimtarisë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Veprimtaritë e lejuara në portet turistike, sipas nenit 5 të këtij ligji, kryhen pas marrjes së lejes së veprimtarisë nga organet përgjegjëse, në mbështetje të legjislacionit në fuqi.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17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lastRenderedPageBreak/>
        <w:t>Kundërvajtjet dhe sanksionet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Për veprat e kundërligjshme detare, të cilat kanë lidhje me sigurinë e mjeteve lundruese, zbatimin e legjislacionit për ndotjen e mjedisit detar, zbatimin e legjislacionit për regjimin e lundrimit në ujërat territoriale dhe ato të brendshme të Republikës së Shqipërisë, zbatohen procedurat dhe sanksionet e përcaktuara në pjesën e tetë, neni 369 deri në nenin 395 të ligjit nr.9251, datë 8.7.2004 “Kodi Detar i Republikës së Shqipërisë”.</w:t>
      </w:r>
    </w:p>
    <w:p w:rsidR="00723E35" w:rsidRPr="00844DD2" w:rsidRDefault="00723E35" w:rsidP="002A562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18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Nxjerrja e akteve nënligjore</w:t>
      </w:r>
      <w:r w:rsidR="000079D8" w:rsidRPr="00844DD2">
        <w:rPr>
          <w:rStyle w:val="FootnoteReference"/>
          <w:rFonts w:ascii="Garamond" w:hAnsi="Garamond"/>
          <w:sz w:val="24"/>
          <w:szCs w:val="24"/>
        </w:rPr>
        <w:footnoteReference w:id="1"/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Ngarkohet Këshilli i Ministrave të nxjerrë aktet nënligjore në zbatim të neneve 5, 6, 7 e 8 paragrafi i dytë të këtij ligji.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Neni 19</w:t>
      </w:r>
    </w:p>
    <w:p w:rsidR="00723E35" w:rsidRPr="00844DD2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Hyrja në fuqi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844DD2" w:rsidRDefault="00723E35" w:rsidP="00723E35">
      <w:pPr>
        <w:pStyle w:val="Shpallja"/>
        <w:rPr>
          <w:rFonts w:ascii="Garamond" w:hAnsi="Garamond"/>
          <w:sz w:val="24"/>
          <w:szCs w:val="24"/>
        </w:rPr>
      </w:pPr>
      <w:r w:rsidRPr="00844DD2">
        <w:rPr>
          <w:rFonts w:ascii="Garamond" w:hAnsi="Garamond"/>
          <w:sz w:val="24"/>
          <w:szCs w:val="24"/>
        </w:rPr>
        <w:t>Shpallur me dekretin nr.</w:t>
      </w:r>
      <w:r w:rsidR="002A5623" w:rsidRPr="00844DD2">
        <w:rPr>
          <w:rFonts w:ascii="Garamond" w:hAnsi="Garamond"/>
          <w:sz w:val="24"/>
          <w:szCs w:val="24"/>
        </w:rPr>
        <w:t xml:space="preserve"> </w:t>
      </w:r>
      <w:r w:rsidRPr="00844DD2">
        <w:rPr>
          <w:rFonts w:ascii="Garamond" w:hAnsi="Garamond"/>
          <w:sz w:val="24"/>
          <w:szCs w:val="24"/>
        </w:rPr>
        <w:t>5271, datë 17.4.2007 të Presidentit të Republikës së Shqipërisë, Alfred Moisiu</w:t>
      </w:r>
    </w:p>
    <w:p w:rsidR="00723E35" w:rsidRPr="00844DD2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0178C2" w:rsidRPr="00844DD2" w:rsidRDefault="000178C2" w:rsidP="00723E35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844DD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20B" w:rsidRDefault="001E720B" w:rsidP="000079D8">
      <w:r>
        <w:separator/>
      </w:r>
    </w:p>
  </w:endnote>
  <w:endnote w:type="continuationSeparator" w:id="0">
    <w:p w:rsidR="001E720B" w:rsidRDefault="001E720B" w:rsidP="0000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20B" w:rsidRDefault="001E720B" w:rsidP="000079D8">
      <w:r>
        <w:separator/>
      </w:r>
    </w:p>
  </w:footnote>
  <w:footnote w:type="continuationSeparator" w:id="0">
    <w:p w:rsidR="001E720B" w:rsidRDefault="001E720B" w:rsidP="000079D8">
      <w:r>
        <w:continuationSeparator/>
      </w:r>
    </w:p>
  </w:footnote>
  <w:footnote w:id="1">
    <w:p w:rsidR="000079D8" w:rsidRPr="00844DD2" w:rsidRDefault="000079D8" w:rsidP="000079D8">
      <w:pPr>
        <w:pStyle w:val="FootnoteText"/>
        <w:rPr>
          <w:rFonts w:ascii="Garamond" w:hAnsi="Garamond"/>
          <w:i/>
          <w:sz w:val="20"/>
          <w:lang w:val="en-US"/>
        </w:rPr>
      </w:pPr>
      <w:r w:rsidRPr="00844DD2">
        <w:rPr>
          <w:rStyle w:val="FootnoteReference"/>
          <w:rFonts w:ascii="Garamond" w:hAnsi="Garamond"/>
          <w:sz w:val="20"/>
        </w:rPr>
        <w:footnoteRef/>
      </w:r>
      <w:r w:rsidRPr="00844DD2">
        <w:rPr>
          <w:rFonts w:ascii="Garamond" w:hAnsi="Garamond"/>
          <w:sz w:val="20"/>
        </w:rPr>
        <w:t xml:space="preserve"> </w:t>
      </w:r>
      <w:r w:rsidRPr="00844DD2">
        <w:rPr>
          <w:rFonts w:ascii="Garamond" w:hAnsi="Garamond"/>
          <w:sz w:val="20"/>
          <w:lang w:val="en-US"/>
        </w:rPr>
        <w:t>Ligji nr. 36/2026, datë 9.4.2026 botuar n</w:t>
      </w:r>
      <w:r w:rsidR="00844DD2">
        <w:rPr>
          <w:rFonts w:ascii="Garamond" w:hAnsi="Garamond"/>
          <w:sz w:val="20"/>
          <w:lang w:val="en-US"/>
        </w:rPr>
        <w:t>ë</w:t>
      </w:r>
      <w:r w:rsidRPr="00844DD2">
        <w:rPr>
          <w:rFonts w:ascii="Garamond" w:hAnsi="Garamond"/>
          <w:sz w:val="20"/>
          <w:lang w:val="en-US"/>
        </w:rPr>
        <w:t xml:space="preserve"> F.Z nr. 98, dat</w:t>
      </w:r>
      <w:r w:rsidR="00844DD2">
        <w:rPr>
          <w:rFonts w:ascii="Garamond" w:hAnsi="Garamond"/>
          <w:sz w:val="20"/>
          <w:lang w:val="en-US"/>
        </w:rPr>
        <w:t>ë</w:t>
      </w:r>
      <w:r w:rsidRPr="00844DD2">
        <w:rPr>
          <w:rFonts w:ascii="Garamond" w:hAnsi="Garamond"/>
          <w:sz w:val="20"/>
          <w:lang w:val="en-US"/>
        </w:rPr>
        <w:t xml:space="preserve"> 12.5.2026 n</w:t>
      </w:r>
      <w:r w:rsidR="00844DD2">
        <w:rPr>
          <w:rFonts w:ascii="Garamond" w:hAnsi="Garamond"/>
          <w:sz w:val="20"/>
          <w:lang w:val="en-US"/>
        </w:rPr>
        <w:t>ë</w:t>
      </w:r>
      <w:r w:rsidRPr="00844DD2">
        <w:rPr>
          <w:rFonts w:ascii="Garamond" w:hAnsi="Garamond"/>
          <w:sz w:val="20"/>
          <w:lang w:val="en-US"/>
        </w:rPr>
        <w:t xml:space="preserve"> nenin 2 “</w:t>
      </w:r>
      <w:r w:rsidRPr="00844DD2">
        <w:rPr>
          <w:rFonts w:ascii="Garamond" w:hAnsi="Garamond"/>
          <w:sz w:val="20"/>
          <w:lang w:val="en-US"/>
        </w:rPr>
        <w:t>Nxjerrja e akteve nënligjore</w:t>
      </w:r>
      <w:r w:rsidRPr="00844DD2">
        <w:rPr>
          <w:rFonts w:ascii="Garamond" w:hAnsi="Garamond"/>
          <w:sz w:val="20"/>
          <w:lang w:val="en-US"/>
        </w:rPr>
        <w:t xml:space="preserve">” </w:t>
      </w:r>
      <w:r w:rsidRPr="00844DD2">
        <w:rPr>
          <w:rFonts w:ascii="Garamond" w:hAnsi="Garamond"/>
          <w:sz w:val="20"/>
          <w:lang w:val="en-US"/>
        </w:rPr>
        <w:t>t</w:t>
      </w:r>
      <w:r w:rsidR="00844DD2">
        <w:rPr>
          <w:rFonts w:ascii="Garamond" w:hAnsi="Garamond"/>
          <w:sz w:val="20"/>
          <w:lang w:val="en-US"/>
        </w:rPr>
        <w:t>ë</w:t>
      </w:r>
      <w:r w:rsidRPr="00844DD2">
        <w:rPr>
          <w:rFonts w:ascii="Garamond" w:hAnsi="Garamond"/>
          <w:sz w:val="20"/>
          <w:lang w:val="en-US"/>
        </w:rPr>
        <w:t xml:space="preserve"> tij shprehet</w:t>
      </w:r>
      <w:r w:rsidRPr="00844DD2">
        <w:rPr>
          <w:rFonts w:ascii="Garamond" w:hAnsi="Garamond"/>
          <w:sz w:val="20"/>
          <w:lang w:val="en-US"/>
        </w:rPr>
        <w:t xml:space="preserve">: </w:t>
      </w:r>
      <w:r w:rsidRPr="00844DD2">
        <w:rPr>
          <w:rFonts w:ascii="Garamond" w:hAnsi="Garamond"/>
          <w:i/>
          <w:sz w:val="20"/>
          <w:lang w:val="en-US"/>
        </w:rPr>
        <w:t>“</w:t>
      </w:r>
      <w:r w:rsidRPr="00844DD2">
        <w:rPr>
          <w:rFonts w:ascii="Garamond" w:hAnsi="Garamond"/>
          <w:i/>
          <w:sz w:val="20"/>
          <w:lang w:val="en-US"/>
        </w:rPr>
        <w:t>Ngarkohet Këshilli i Ministrave për nxjerrjen e aktit nënligjor sipas nenit 1 të këtij ligji brenda 6 muajve nga hyrja në fuqi e tij.</w:t>
      </w:r>
      <w:r w:rsidRPr="00844DD2">
        <w:rPr>
          <w:rFonts w:ascii="Garamond" w:hAnsi="Garamond"/>
          <w:i/>
          <w:sz w:val="20"/>
          <w:lang w:val="en-US"/>
        </w:rPr>
        <w:t>”</w:t>
      </w:r>
    </w:p>
    <w:p w:rsidR="000079D8" w:rsidRPr="00844DD2" w:rsidRDefault="000079D8">
      <w:pPr>
        <w:pStyle w:val="FootnoteText"/>
        <w:rPr>
          <w:rFonts w:ascii="Garamond" w:hAnsi="Garamond"/>
          <w:sz w:val="20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CC5A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EC64D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C1C40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5FCD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622AD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C8A6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7E3C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44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320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10C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E35"/>
    <w:rsid w:val="000079D8"/>
    <w:rsid w:val="000178C2"/>
    <w:rsid w:val="001E720B"/>
    <w:rsid w:val="002A5623"/>
    <w:rsid w:val="00410E2B"/>
    <w:rsid w:val="00723E35"/>
    <w:rsid w:val="00844DD2"/>
    <w:rsid w:val="00C84B66"/>
    <w:rsid w:val="00ED73F0"/>
    <w:rsid w:val="00F33E6D"/>
    <w:rsid w:val="00FF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16A45"/>
  <w15:chartTrackingRefBased/>
  <w15:docId w15:val="{CFEF5141-973D-4F76-93CB-FCF81A88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3E6D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F33E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33E6D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F33E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33E6D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F33E6D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F33E6D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F33E6D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F33E6D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F33E6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F33E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F33E6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33E6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F33E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33E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F33E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33E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F33E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33E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33E6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33E6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lockText">
    <w:name w:val="Block Text"/>
    <w:basedOn w:val="Normal"/>
    <w:rsid w:val="00F33E6D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F33E6D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F33E6D"/>
    <w:pPr>
      <w:ind w:left="1077"/>
    </w:pPr>
  </w:style>
  <w:style w:type="paragraph" w:styleId="BodyTextIndent2">
    <w:name w:val="Body Text Indent 2"/>
    <w:basedOn w:val="Normal"/>
    <w:rsid w:val="00F33E6D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F33E6D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F33E6D"/>
    <w:pPr>
      <w:spacing w:after="120"/>
    </w:pPr>
  </w:style>
  <w:style w:type="paragraph" w:customStyle="1" w:styleId="extraclauses">
    <w:name w:val="extra_clauses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33E6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33E6D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F33E6D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F33E6D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F33E6D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F33E6D"/>
    <w:rPr>
      <w:color w:val="0000FF"/>
      <w:u w:val="single"/>
    </w:rPr>
  </w:style>
  <w:style w:type="paragraph" w:customStyle="1" w:styleId="Institucioni">
    <w:name w:val="Institucion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F33E6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F33E6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F33E6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F33E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styleId="NormalIndent">
    <w:name w:val="Normal Indent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F33E6D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F33E6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F33E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styleId="PageNumber">
    <w:name w:val="page number"/>
    <w:basedOn w:val="DefaultParagraphFont"/>
    <w:rsid w:val="00F33E6D"/>
  </w:style>
  <w:style w:type="paragraph" w:customStyle="1" w:styleId="Paragrafi">
    <w:name w:val="Paragrafi"/>
    <w:rsid w:val="00F33E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F33E6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F33E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F33E6D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F3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F33E6D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F33E6D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paragraph" w:styleId="Title">
    <w:name w:val="Title"/>
    <w:basedOn w:val="Normal"/>
    <w:qFormat/>
    <w:rsid w:val="00F33E6D"/>
    <w:pPr>
      <w:jc w:val="center"/>
    </w:pPr>
    <w:rPr>
      <w:rFonts w:ascii="Arial" w:eastAsia="Times New Roman" w:hAnsi="Arial"/>
      <w:sz w:val="28"/>
      <w:szCs w:val="20"/>
      <w:lang w:val="en-GB"/>
    </w:rPr>
  </w:style>
  <w:style w:type="paragraph" w:customStyle="1" w:styleId="Titulli">
    <w:name w:val="Titulli"/>
    <w:next w:val="Normal"/>
    <w:link w:val="TitulliChar"/>
    <w:rsid w:val="00F33E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F33E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F33E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23E3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3E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23E3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723E35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E7940-53F9-4C17-A1EE-6B00D8DA4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Rovena Lipe</cp:lastModifiedBy>
  <cp:revision>3</cp:revision>
  <dcterms:created xsi:type="dcterms:W3CDTF">2026-05-13T08:56:00Z</dcterms:created>
  <dcterms:modified xsi:type="dcterms:W3CDTF">2026-05-13T08:57:00Z</dcterms:modified>
</cp:coreProperties>
</file>