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26B" w:rsidRPr="008C1E2D" w:rsidRDefault="00D3326B" w:rsidP="00D3326B">
      <w:pPr>
        <w:pStyle w:val="Akti"/>
      </w:pPr>
      <w:bookmarkStart w:id="0" w:name="_GoBack"/>
      <w:bookmarkEnd w:id="0"/>
      <w:r w:rsidRPr="008C1E2D">
        <w:t>LIGJ</w:t>
      </w:r>
    </w:p>
    <w:p w:rsidR="00D3326B" w:rsidRPr="008C1E2D" w:rsidRDefault="00D3326B" w:rsidP="00D3326B">
      <w:pPr>
        <w:pStyle w:val="NumriData"/>
      </w:pPr>
      <w:r w:rsidRPr="008C1E2D">
        <w:t>Nr.9713, datë 16.4.2007</w:t>
      </w:r>
    </w:p>
    <w:p w:rsidR="00D3326B" w:rsidRPr="008C1E2D" w:rsidRDefault="00D3326B" w:rsidP="00D3326B">
      <w:pPr>
        <w:pStyle w:val="Paragrafi"/>
      </w:pPr>
    </w:p>
    <w:p w:rsidR="00D3326B" w:rsidRPr="008C1E2D" w:rsidRDefault="00D3326B" w:rsidP="00D3326B">
      <w:pPr>
        <w:pStyle w:val="Titulli"/>
      </w:pPr>
      <w:r w:rsidRPr="008C1E2D">
        <w:t>PËR DISA NDRYSHIME NË LIGJIN NR.8560, DATË 22.12.1999 “PËR PROCEDURAT TATIMORE NË REPUBLIKËN E SHQIPËRISË”, TË NDRYSHUAR</w:t>
      </w:r>
    </w:p>
    <w:p w:rsidR="00D3326B" w:rsidRPr="008C1E2D" w:rsidRDefault="00D3326B" w:rsidP="00D3326B">
      <w:pPr>
        <w:pStyle w:val="Paragrafi"/>
      </w:pPr>
    </w:p>
    <w:p w:rsidR="00D3326B" w:rsidRPr="008C1E2D" w:rsidRDefault="00D3326B" w:rsidP="00D3326B">
      <w:pPr>
        <w:pStyle w:val="BazLigjPropozues"/>
      </w:pPr>
      <w:r w:rsidRPr="008C1E2D">
        <w:t xml:space="preserve">Në mbështetje të neneve 78, 83 pika 1 dhe  155 të Kushtetutës, me propozimin e Këshillit të Ministrave, </w:t>
      </w:r>
    </w:p>
    <w:p w:rsidR="00D3326B" w:rsidRPr="008C1E2D" w:rsidRDefault="00D3326B" w:rsidP="00D3326B">
      <w:pPr>
        <w:pStyle w:val="Paragrafi"/>
      </w:pPr>
    </w:p>
    <w:p w:rsidR="00D3326B" w:rsidRPr="008C1E2D" w:rsidRDefault="00D3326B" w:rsidP="00D3326B">
      <w:pPr>
        <w:pStyle w:val="Institucioni"/>
      </w:pPr>
      <w:r w:rsidRPr="008C1E2D">
        <w:t xml:space="preserve">K U V E N D I </w:t>
      </w:r>
    </w:p>
    <w:p w:rsidR="00D3326B" w:rsidRPr="008C1E2D" w:rsidRDefault="00D3326B" w:rsidP="00D3326B">
      <w:pPr>
        <w:pStyle w:val="Institucioni"/>
      </w:pPr>
      <w:r w:rsidRPr="008C1E2D">
        <w:t>I REPUBLIKËS SË SHQIPËRISË</w:t>
      </w:r>
    </w:p>
    <w:p w:rsidR="00D3326B" w:rsidRPr="008C1E2D" w:rsidRDefault="00D3326B" w:rsidP="00D3326B">
      <w:pPr>
        <w:pStyle w:val="Paragrafi"/>
      </w:pPr>
    </w:p>
    <w:p w:rsidR="00D3326B" w:rsidRPr="008C1E2D" w:rsidRDefault="00D3326B" w:rsidP="00D3326B">
      <w:pPr>
        <w:pStyle w:val="VENDOSI"/>
      </w:pPr>
      <w:r w:rsidRPr="008C1E2D">
        <w:t>V E N D O S I:</w:t>
      </w:r>
    </w:p>
    <w:p w:rsidR="00D3326B" w:rsidRPr="008C1E2D" w:rsidRDefault="00D3326B" w:rsidP="00D3326B">
      <w:pPr>
        <w:pStyle w:val="Paragrafi"/>
      </w:pPr>
    </w:p>
    <w:p w:rsidR="00D3326B" w:rsidRPr="008C1E2D" w:rsidRDefault="00D3326B" w:rsidP="00D3326B">
      <w:pPr>
        <w:pStyle w:val="Paragrafi"/>
      </w:pPr>
      <w:r w:rsidRPr="008C1E2D">
        <w:t>Në ligjin nr.8560, datë 22.12.1999 “Për procedurat tatimore në Republikën e Shqipërisë”, të ndryshuar, bëhen këto ndryshime:</w:t>
      </w:r>
    </w:p>
    <w:p w:rsidR="00D3326B" w:rsidRPr="008C1E2D" w:rsidRDefault="00D3326B" w:rsidP="00D3326B">
      <w:pPr>
        <w:pStyle w:val="Paragrafi"/>
      </w:pPr>
    </w:p>
    <w:p w:rsidR="00D3326B" w:rsidRPr="008C1E2D" w:rsidRDefault="00D3326B" w:rsidP="00D3326B">
      <w:pPr>
        <w:pStyle w:val="NeniNr"/>
      </w:pPr>
      <w:r w:rsidRPr="008C1E2D">
        <w:t>Neni 1</w:t>
      </w:r>
    </w:p>
    <w:p w:rsidR="00D3326B" w:rsidRPr="008C1E2D" w:rsidRDefault="00D3326B" w:rsidP="00D3326B">
      <w:pPr>
        <w:pStyle w:val="Paragrafi"/>
      </w:pPr>
    </w:p>
    <w:p w:rsidR="00D3326B" w:rsidRPr="008C1E2D" w:rsidRDefault="00D3326B" w:rsidP="00D3326B">
      <w:pPr>
        <w:pStyle w:val="Paragrafi"/>
      </w:pPr>
      <w:r w:rsidRPr="008C1E2D">
        <w:t>Neni 37 ndryshohet si më poshtë:</w:t>
      </w:r>
    </w:p>
    <w:p w:rsidR="00D3326B" w:rsidRPr="008C1E2D" w:rsidRDefault="00D3326B" w:rsidP="00D3326B">
      <w:pPr>
        <w:pStyle w:val="Paragrafi"/>
      </w:pPr>
    </w:p>
    <w:p w:rsidR="00D3326B" w:rsidRPr="008C1E2D" w:rsidRDefault="00D3326B" w:rsidP="00D3326B">
      <w:pPr>
        <w:pStyle w:val="NeniNr"/>
      </w:pPr>
      <w:r w:rsidRPr="008C1E2D">
        <w:t>“Neni 37</w:t>
      </w:r>
    </w:p>
    <w:p w:rsidR="00D3326B" w:rsidRPr="008C1E2D" w:rsidRDefault="00D3326B" w:rsidP="00D3326B">
      <w:pPr>
        <w:pStyle w:val="NeniTitull"/>
      </w:pPr>
      <w:r w:rsidRPr="008C1E2D">
        <w:t>Pagimi i tatimeve, taksave dhe kontributeve</w:t>
      </w:r>
    </w:p>
    <w:p w:rsidR="00D3326B" w:rsidRPr="008C1E2D" w:rsidRDefault="00D3326B" w:rsidP="00D3326B">
      <w:pPr>
        <w:pStyle w:val="Paragrafi"/>
      </w:pPr>
    </w:p>
    <w:p w:rsidR="00D3326B" w:rsidRPr="008C1E2D" w:rsidRDefault="00D3326B" w:rsidP="00D3326B">
      <w:pPr>
        <w:pStyle w:val="Paragrafi"/>
      </w:pPr>
      <w:r w:rsidRPr="008C1E2D">
        <w:t>1. Pagimi i tatimeve, taksave dhe kontributeve të sigurimeve shoqërore e shëndetësore është i detyrueshëm brenda afateve të përcaktuara me ligje të veçanta tatimore.</w:t>
      </w:r>
    </w:p>
    <w:p w:rsidR="00D3326B" w:rsidRPr="008C1E2D" w:rsidRDefault="00D3326B" w:rsidP="00D3326B">
      <w:pPr>
        <w:pStyle w:val="Paragrafi"/>
      </w:pPr>
      <w:r w:rsidRPr="008C1E2D">
        <w:t>2.   Pavarësisht nga dispozitat e parashikuara në këtë ligj apo në ligje të tjera të veçanta tatimore, shuma e detyrimit për t'u paguar nga tatimpaguesit, me vlerë deri në 1 000 (një mijë) lekë, në përputhje me deklaratën tatimore apo vlerësimin tatimor, trajtohet si detyrim në vlerë zero.”.</w:t>
      </w:r>
    </w:p>
    <w:p w:rsidR="00D3326B" w:rsidRPr="008C1E2D" w:rsidRDefault="00D3326B" w:rsidP="00D3326B">
      <w:pPr>
        <w:pStyle w:val="Paragrafi"/>
      </w:pPr>
    </w:p>
    <w:p w:rsidR="00D3326B" w:rsidRPr="008C1E2D" w:rsidRDefault="00D3326B" w:rsidP="00D3326B">
      <w:pPr>
        <w:pStyle w:val="NeniNr"/>
      </w:pPr>
      <w:r w:rsidRPr="008C1E2D">
        <w:t>Neni 2</w:t>
      </w:r>
    </w:p>
    <w:p w:rsidR="00D3326B" w:rsidRPr="008C1E2D" w:rsidRDefault="00D3326B" w:rsidP="00D3326B">
      <w:pPr>
        <w:pStyle w:val="Paragrafi"/>
      </w:pPr>
    </w:p>
    <w:p w:rsidR="00D3326B" w:rsidRPr="008C1E2D" w:rsidRDefault="00D3326B" w:rsidP="00D3326B">
      <w:pPr>
        <w:pStyle w:val="Paragrafi"/>
      </w:pPr>
      <w:r w:rsidRPr="008C1E2D">
        <w:t>Neni 41 ndryshohet si më poshtë:</w:t>
      </w:r>
    </w:p>
    <w:p w:rsidR="00D3326B" w:rsidRPr="008C1E2D" w:rsidRDefault="00D3326B" w:rsidP="00D3326B">
      <w:pPr>
        <w:pStyle w:val="Paragrafi"/>
      </w:pPr>
    </w:p>
    <w:p w:rsidR="00D3326B" w:rsidRPr="008C1E2D" w:rsidRDefault="00D3326B" w:rsidP="00D3326B">
      <w:pPr>
        <w:pStyle w:val="NeniNr"/>
      </w:pPr>
      <w:r w:rsidRPr="008C1E2D">
        <w:t>“Neni 41</w:t>
      </w:r>
    </w:p>
    <w:p w:rsidR="00D3326B" w:rsidRPr="008C1E2D" w:rsidRDefault="00D3326B" w:rsidP="00D3326B">
      <w:pPr>
        <w:pStyle w:val="NeniTitull"/>
      </w:pPr>
      <w:r w:rsidRPr="008C1E2D">
        <w:t>Pagesa me këste</w:t>
      </w:r>
    </w:p>
    <w:p w:rsidR="00D3326B" w:rsidRPr="008C1E2D" w:rsidRDefault="00D3326B" w:rsidP="00D3326B">
      <w:pPr>
        <w:pStyle w:val="Paragrafi"/>
      </w:pPr>
    </w:p>
    <w:p w:rsidR="00D3326B" w:rsidRPr="008C1E2D" w:rsidRDefault="00D3326B" w:rsidP="00D3326B">
      <w:pPr>
        <w:pStyle w:val="Paragrafi"/>
      </w:pPr>
      <w:r w:rsidRPr="008C1E2D">
        <w:t>Në raste të veçanta dhe të argumentuara me gjendjen financiare, kur një tatimpagues nuk mund të paguajë plotësisht dhe menjëherë detyrimin tatimor, organi tatimor përkatës, sipas kërkesës me shkrim, mund të hartojë një plan pagese me këste. Në raste të tilla, tatimpaguesi paguan interesat për të gjithë kohëzgjatjen e pagesës me këste. Plani i pagesës me këste është një marrëveshje me shkrim, e përgatitur sipas përcaktimit në Kodin Civil dhe e nënshkruar nga kryetari i degës përkatëse të tatimeve, si dhe nga tatimpaguesi. Plani i pagesës me këste anulohet kur kushtet, në të cilat është hartuar, nuk ekzistojnë më.</w:t>
      </w:r>
    </w:p>
    <w:p w:rsidR="00D3326B" w:rsidRPr="008C1E2D" w:rsidRDefault="00D3326B" w:rsidP="00D3326B">
      <w:pPr>
        <w:pStyle w:val="Paragrafi"/>
      </w:pPr>
      <w:r w:rsidRPr="008C1E2D">
        <w:t>Rregullat, procedurat dhe kohëzgjatja e pagesës me këste përcaktohen me udhëzim të Ministrit të Financave.”.</w:t>
      </w:r>
    </w:p>
    <w:p w:rsidR="00D3326B" w:rsidRPr="008C1E2D" w:rsidRDefault="00D3326B" w:rsidP="00D3326B">
      <w:pPr>
        <w:pStyle w:val="Paragrafi"/>
      </w:pPr>
    </w:p>
    <w:p w:rsidR="00D3326B" w:rsidRPr="008C1E2D" w:rsidRDefault="00D3326B" w:rsidP="00D3326B">
      <w:pPr>
        <w:pStyle w:val="NeniNr"/>
      </w:pPr>
      <w:r w:rsidRPr="008C1E2D">
        <w:t>Neni 3</w:t>
      </w:r>
    </w:p>
    <w:p w:rsidR="00D3326B" w:rsidRPr="008C1E2D" w:rsidRDefault="00D3326B" w:rsidP="00D3326B">
      <w:pPr>
        <w:pStyle w:val="Paragrafi"/>
      </w:pPr>
    </w:p>
    <w:p w:rsidR="00D3326B" w:rsidRPr="008C1E2D" w:rsidRDefault="00D3326B" w:rsidP="00D3326B">
      <w:pPr>
        <w:pStyle w:val="Paragrafi"/>
      </w:pPr>
      <w:r w:rsidRPr="008C1E2D">
        <w:t>Neni 43 ndryshohet si më poshtë:</w:t>
      </w:r>
    </w:p>
    <w:p w:rsidR="00D3326B" w:rsidRDefault="00D3326B" w:rsidP="00D3326B">
      <w:pPr>
        <w:pStyle w:val="NeniNr"/>
      </w:pPr>
    </w:p>
    <w:p w:rsidR="00D3326B" w:rsidRPr="008C1E2D" w:rsidRDefault="00D3326B" w:rsidP="00D3326B">
      <w:pPr>
        <w:pStyle w:val="NeniNr"/>
      </w:pPr>
      <w:r w:rsidRPr="008C1E2D">
        <w:t xml:space="preserve"> “Neni 43</w:t>
      </w:r>
    </w:p>
    <w:p w:rsidR="00D3326B" w:rsidRPr="008C1E2D" w:rsidRDefault="00D3326B" w:rsidP="00D3326B">
      <w:pPr>
        <w:pStyle w:val="NeniTitull"/>
      </w:pPr>
      <w:r w:rsidRPr="008C1E2D">
        <w:t>Detyrimi për pagesë të menjëhershme</w:t>
      </w:r>
    </w:p>
    <w:p w:rsidR="00D3326B" w:rsidRPr="008C1E2D" w:rsidRDefault="00D3326B" w:rsidP="00D3326B">
      <w:pPr>
        <w:pStyle w:val="Paragrafi"/>
      </w:pPr>
    </w:p>
    <w:p w:rsidR="00D3326B" w:rsidRPr="008C1E2D" w:rsidRDefault="00D3326B" w:rsidP="00D3326B">
      <w:pPr>
        <w:pStyle w:val="Paragrafi"/>
      </w:pPr>
      <w:r w:rsidRPr="008C1E2D">
        <w:t xml:space="preserve">1. </w:t>
      </w:r>
      <w:smartTag w:uri="urn:schemas-microsoft-com:office:smarttags" w:element="place">
        <w:r w:rsidRPr="008C1E2D">
          <w:t>Para</w:t>
        </w:r>
      </w:smartTag>
      <w:r w:rsidRPr="008C1E2D">
        <w:t xml:space="preserve"> se të paraqiten për apelim në shkallët e apelimit administrativ, tatimpaguesit janë të </w:t>
      </w:r>
      <w:r w:rsidRPr="008C1E2D">
        <w:lastRenderedPageBreak/>
        <w:t>detyruar të parapaguajnë detyrimin tatimor, pa përfshirë interesat dhe gjobat që lidhen me këtë detyrim.</w:t>
      </w:r>
    </w:p>
    <w:p w:rsidR="00D3326B" w:rsidRPr="008C1E2D" w:rsidRDefault="00D3326B" w:rsidP="00D3326B">
      <w:pPr>
        <w:pStyle w:val="Paragrafi"/>
      </w:pPr>
      <w:r w:rsidRPr="008C1E2D">
        <w:t xml:space="preserve">2. </w:t>
      </w:r>
      <w:smartTag w:uri="urn:schemas-microsoft-com:office:smarttags" w:element="place">
        <w:r w:rsidRPr="008C1E2D">
          <w:t>Para</w:t>
        </w:r>
      </w:smartTag>
      <w:r w:rsidRPr="008C1E2D">
        <w:t xml:space="preserve"> se të paraqiten për shqyrtim gjyqësor, tatimpaguesit janë të detyruar të paguajnë 15 për qind të çdo gjobe dhe interesi. Shqyrtimi gjyqësor i çështjeve zhvillohet sipas një procedure gjyqësore të përshpejtuar, e cila nuk duhet t’i kalojë 60 ditë.</w:t>
      </w:r>
    </w:p>
    <w:p w:rsidR="00D3326B" w:rsidRPr="008C1E2D" w:rsidRDefault="00D3326B" w:rsidP="00D3326B">
      <w:pPr>
        <w:pStyle w:val="Paragrafi"/>
      </w:pPr>
      <w:r w:rsidRPr="008C1E2D">
        <w:t>Administrata tatimore detyrohet të bëjë ekzekutimin e vendimeve gjyqësore, në të kundërt zyrat e përmbarimit i ekzekutojnë ato menjëherë.”.</w:t>
      </w:r>
    </w:p>
    <w:p w:rsidR="00D3326B" w:rsidRPr="008C1E2D" w:rsidRDefault="00D3326B" w:rsidP="00D3326B">
      <w:pPr>
        <w:pStyle w:val="Paragrafi"/>
      </w:pPr>
    </w:p>
    <w:p w:rsidR="00D3326B" w:rsidRPr="008C1E2D" w:rsidRDefault="00D3326B" w:rsidP="00D3326B">
      <w:pPr>
        <w:pStyle w:val="NeniNr"/>
      </w:pPr>
      <w:r w:rsidRPr="008C1E2D">
        <w:t>Neni 4</w:t>
      </w:r>
    </w:p>
    <w:p w:rsidR="00D3326B" w:rsidRPr="008C1E2D" w:rsidRDefault="00D3326B" w:rsidP="00D3326B">
      <w:pPr>
        <w:pStyle w:val="Paragrafi"/>
      </w:pPr>
    </w:p>
    <w:p w:rsidR="00D3326B" w:rsidRPr="008C1E2D" w:rsidRDefault="00D3326B" w:rsidP="00D3326B">
      <w:pPr>
        <w:pStyle w:val="Paragrafi"/>
      </w:pPr>
      <w:r w:rsidRPr="008C1E2D">
        <w:t>Neni 49 ndryshohet si më poshtë:</w:t>
      </w:r>
    </w:p>
    <w:p w:rsidR="00D3326B" w:rsidRPr="008C1E2D" w:rsidRDefault="00D3326B" w:rsidP="00D3326B">
      <w:pPr>
        <w:pStyle w:val="Paragrafi"/>
      </w:pPr>
    </w:p>
    <w:p w:rsidR="00D3326B" w:rsidRPr="008C1E2D" w:rsidRDefault="00D3326B" w:rsidP="00D3326B">
      <w:pPr>
        <w:pStyle w:val="NeniNr"/>
      </w:pPr>
      <w:r w:rsidRPr="008C1E2D">
        <w:t>“Neni 49</w:t>
      </w:r>
    </w:p>
    <w:p w:rsidR="00D3326B" w:rsidRPr="008C1E2D" w:rsidRDefault="00D3326B" w:rsidP="00D3326B">
      <w:pPr>
        <w:pStyle w:val="NeniTitull"/>
      </w:pPr>
      <w:r w:rsidRPr="008C1E2D">
        <w:t>Shkeljet dhe dënimet për regjistrimin</w:t>
      </w:r>
    </w:p>
    <w:p w:rsidR="00D3326B" w:rsidRPr="008C1E2D" w:rsidRDefault="00D3326B" w:rsidP="00D3326B">
      <w:pPr>
        <w:pStyle w:val="Paragrafi"/>
      </w:pPr>
    </w:p>
    <w:p w:rsidR="00D3326B" w:rsidRPr="008C1E2D" w:rsidRDefault="00D3326B" w:rsidP="00D3326B">
      <w:pPr>
        <w:pStyle w:val="Paragrafi"/>
      </w:pPr>
      <w:r w:rsidRPr="008C1E2D">
        <w:t>1.</w:t>
      </w:r>
      <w:r w:rsidRPr="008C1E2D">
        <w:tab/>
        <w:t>Kryerja e veprimtarisë pa u regjistruar në organet tatimore dhe pa u pajisur më parë me certifikatën tatimore është shkelje dhe dënohet si më poshtë:</w:t>
      </w:r>
    </w:p>
    <w:p w:rsidR="00D3326B" w:rsidRPr="008C1E2D" w:rsidRDefault="00D3326B" w:rsidP="00D3326B">
      <w:pPr>
        <w:pStyle w:val="Paragrafi"/>
      </w:pPr>
      <w:r w:rsidRPr="008C1E2D">
        <w:t>a) me bllokim të veprimtarisë, deri në regjistrimin e tatimpaguesit dhe pajisjen e tij me certifikatë tatimore. Në rastin e transportit, ky dënim shoqërohet me marrjen e lejes së qarkullimit të automjetit të paregjistruar dhe të papajisur me certifikatë tatimore;</w:t>
      </w:r>
    </w:p>
    <w:p w:rsidR="00D3326B" w:rsidRPr="008C1E2D" w:rsidRDefault="00D3326B" w:rsidP="00D3326B">
      <w:pPr>
        <w:pStyle w:val="Paragrafi"/>
      </w:pPr>
      <w:r w:rsidRPr="008C1E2D">
        <w:t>b) me sekuestrim</w:t>
      </w:r>
      <w:r w:rsidRPr="008C1E2D">
        <w:tab/>
        <w:t>të pasurive në vendin</w:t>
      </w:r>
      <w:r w:rsidRPr="008C1E2D">
        <w:tab/>
        <w:t>e biznesit, kur tatimpaguesi, ndaj të cilit është marrë masa e bllokimit, gjendet duke ushtruar veprimtarinë.</w:t>
      </w:r>
    </w:p>
    <w:p w:rsidR="00D3326B" w:rsidRPr="008C1E2D" w:rsidRDefault="00D3326B" w:rsidP="00D3326B">
      <w:pPr>
        <w:pStyle w:val="Paragrafi"/>
      </w:pPr>
      <w:r w:rsidRPr="008C1E2D">
        <w:t>2. Mosnjoftimi në degën e tatimeve i ndryshimeve në regjistrim, që kanë të bëjnë me adresën e vendit të ushtrimit të veprimtarisë, është shkelje dhe dënohet si më poshtë:</w:t>
      </w:r>
    </w:p>
    <w:p w:rsidR="00D3326B" w:rsidRPr="008C1E2D" w:rsidRDefault="00D3326B" w:rsidP="00D3326B">
      <w:pPr>
        <w:pStyle w:val="Paragrafi"/>
      </w:pPr>
      <w:r w:rsidRPr="008C1E2D">
        <w:t>a) me bllokim të veprimtarisë, deri në regjistrimin e adresës së re të vendit të ushtrimit të saj dhe pajisjen e saj me certifikatë dytësore tatimore. Në rastin e transportit, ky dënim shoqërohet me marrjen e lejes së qarkullimit të automjetit të paregjistruar dhe të papajisur me certifikatë dytësore tatimore;</w:t>
      </w:r>
    </w:p>
    <w:p w:rsidR="00D3326B" w:rsidRPr="008C1E2D" w:rsidRDefault="00D3326B" w:rsidP="00D3326B">
      <w:pPr>
        <w:pStyle w:val="Paragrafi"/>
      </w:pPr>
      <w:r w:rsidRPr="008C1E2D">
        <w:t>b) me sekuestrim të pasurive në vendin e ri të biznesit, kur tatimpaguesi, ndaj të cilit është marrë masa e bllokimit, gjendet duke ushtruar veprimtarinë.”.</w:t>
      </w:r>
    </w:p>
    <w:p w:rsidR="00D3326B" w:rsidRPr="008C1E2D" w:rsidRDefault="00D3326B" w:rsidP="00D3326B">
      <w:pPr>
        <w:pStyle w:val="Paragrafi"/>
      </w:pPr>
    </w:p>
    <w:p w:rsidR="00D3326B" w:rsidRPr="008C1E2D" w:rsidRDefault="00D3326B" w:rsidP="00D3326B">
      <w:pPr>
        <w:pStyle w:val="NeniNr"/>
      </w:pPr>
      <w:r w:rsidRPr="008C1E2D">
        <w:t>Neni 5</w:t>
      </w:r>
    </w:p>
    <w:p w:rsidR="00D3326B" w:rsidRPr="008C1E2D" w:rsidRDefault="00D3326B" w:rsidP="00D3326B">
      <w:pPr>
        <w:pStyle w:val="NeniTitull"/>
      </w:pPr>
      <w:r w:rsidRPr="008C1E2D">
        <w:t>Neni 52 ndryshohet si më poshtë:</w:t>
      </w:r>
    </w:p>
    <w:p w:rsidR="00D3326B" w:rsidRPr="008C1E2D" w:rsidRDefault="00D3326B" w:rsidP="00D3326B">
      <w:pPr>
        <w:pStyle w:val="Paragrafi"/>
      </w:pPr>
    </w:p>
    <w:p w:rsidR="00D3326B" w:rsidRPr="008C1E2D" w:rsidRDefault="00D3326B" w:rsidP="00D3326B">
      <w:pPr>
        <w:pStyle w:val="NeniNr"/>
      </w:pPr>
      <w:r w:rsidRPr="008C1E2D">
        <w:t xml:space="preserve">“Neni 52 </w:t>
      </w:r>
    </w:p>
    <w:p w:rsidR="00D3326B" w:rsidRPr="008C1E2D" w:rsidRDefault="00D3326B" w:rsidP="00D3326B">
      <w:pPr>
        <w:pStyle w:val="NeniTitull"/>
      </w:pPr>
      <w:r w:rsidRPr="008C1E2D">
        <w:t>Shkeljet dhe dënimet për mosdokumentim</w:t>
      </w:r>
    </w:p>
    <w:p w:rsidR="00D3326B" w:rsidRPr="008C1E2D" w:rsidRDefault="00D3326B" w:rsidP="00D3326B">
      <w:pPr>
        <w:pStyle w:val="Paragrafi"/>
      </w:pPr>
    </w:p>
    <w:p w:rsidR="00D3326B" w:rsidRPr="008C1E2D" w:rsidRDefault="00D3326B" w:rsidP="00D3326B">
      <w:pPr>
        <w:pStyle w:val="Paragrafi"/>
      </w:pPr>
      <w:r w:rsidRPr="008C1E2D">
        <w:t>Ruajtja, përdorimi dhe transportimi i mallrave pa dokumentacionin e përcaktuar në udhëzimin e Ministrit të Financave, në zbatim të këtij ligji, është shkelje dhe dënohet me sekuestrimin e mallrave të padokumentuara.”.</w:t>
      </w:r>
    </w:p>
    <w:p w:rsidR="00D3326B" w:rsidRPr="008C1E2D" w:rsidRDefault="00D3326B" w:rsidP="00D3326B">
      <w:pPr>
        <w:pStyle w:val="Paragrafi"/>
      </w:pPr>
    </w:p>
    <w:p w:rsidR="00D3326B" w:rsidRPr="008C1E2D" w:rsidRDefault="00D3326B" w:rsidP="00D3326B">
      <w:pPr>
        <w:pStyle w:val="NeniNr"/>
      </w:pPr>
      <w:r w:rsidRPr="008C1E2D">
        <w:t>Neni 6</w:t>
      </w:r>
    </w:p>
    <w:p w:rsidR="00D3326B" w:rsidRPr="008C1E2D" w:rsidRDefault="00D3326B" w:rsidP="00D3326B">
      <w:pPr>
        <w:pStyle w:val="Paragrafi"/>
      </w:pPr>
    </w:p>
    <w:p w:rsidR="00D3326B" w:rsidRPr="008C1E2D" w:rsidRDefault="00D3326B" w:rsidP="00D3326B">
      <w:pPr>
        <w:pStyle w:val="Paragrafi"/>
      </w:pPr>
      <w:r w:rsidRPr="008C1E2D">
        <w:t>Ky ligj hyn në fuqi 15 ditë pas botimit në Fletoren Zyrtare.</w:t>
      </w:r>
    </w:p>
    <w:sectPr w:rsidR="00D3326B" w:rsidRPr="008C1E2D"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3326B"/>
    <w:rsid w:val="000178C2"/>
    <w:rsid w:val="005975C1"/>
    <w:rsid w:val="005B43C4"/>
    <w:rsid w:val="00C84B66"/>
    <w:rsid w:val="00D33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FAD6C18-9A09-4F8B-BD8C-6F7546FF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975C1"/>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975C1"/>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975C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975C1"/>
    <w:rPr>
      <w:rFonts w:ascii="CG Times" w:hAnsi="CG Times"/>
      <w:sz w:val="22"/>
      <w:lang w:eastAsia="en-US"/>
    </w:rPr>
  </w:style>
  <w:style w:type="paragraph" w:customStyle="1" w:styleId="AneksiNr">
    <w:name w:val="Aneksi_Nr"/>
    <w:next w:val="Normal"/>
    <w:rsid w:val="005975C1"/>
    <w:pPr>
      <w:keepNext/>
      <w:widowControl w:val="0"/>
      <w:jc w:val="center"/>
    </w:pPr>
    <w:rPr>
      <w:rFonts w:ascii="CG Times" w:hAnsi="CG Times"/>
      <w:caps/>
      <w:sz w:val="22"/>
      <w:szCs w:val="22"/>
      <w:lang w:eastAsia="en-US"/>
    </w:rPr>
  </w:style>
  <w:style w:type="paragraph" w:customStyle="1" w:styleId="AneksiTitull">
    <w:name w:val="Aneksi_Titull"/>
    <w:next w:val="Normal"/>
    <w:rsid w:val="005975C1"/>
    <w:pPr>
      <w:jc w:val="center"/>
    </w:pPr>
    <w:rPr>
      <w:rFonts w:ascii="CG Times" w:hAnsi="CG Times"/>
      <w:sz w:val="24"/>
      <w:szCs w:val="24"/>
      <w:lang w:eastAsia="en-US"/>
    </w:rPr>
  </w:style>
  <w:style w:type="paragraph" w:customStyle="1" w:styleId="Autoriteti">
    <w:name w:val="Autoriteti"/>
    <w:next w:val="Normal"/>
    <w:rsid w:val="005975C1"/>
    <w:pPr>
      <w:keepNext/>
      <w:widowControl w:val="0"/>
      <w:jc w:val="right"/>
    </w:pPr>
    <w:rPr>
      <w:rFonts w:ascii="CG Times" w:hAnsi="CG Times"/>
      <w:caps/>
      <w:sz w:val="22"/>
      <w:szCs w:val="22"/>
      <w:lang w:eastAsia="en-US"/>
    </w:rPr>
  </w:style>
  <w:style w:type="paragraph" w:customStyle="1" w:styleId="AutoritetiEmer">
    <w:name w:val="Autoriteti_Emer"/>
    <w:next w:val="Normal"/>
    <w:rsid w:val="005975C1"/>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5975C1"/>
    <w:rPr>
      <w:rFonts w:ascii="CG Times" w:eastAsia="MS Mincho" w:hAnsi="CG Times"/>
      <w:b/>
      <w:sz w:val="22"/>
      <w:szCs w:val="22"/>
      <w:lang w:val="en-GB" w:eastAsia="en-US" w:bidi="ar-SA"/>
    </w:rPr>
  </w:style>
  <w:style w:type="paragraph" w:customStyle="1" w:styleId="BazLigjPropozues">
    <w:name w:val="Baz_Ligj_Propozues"/>
    <w:rsid w:val="005975C1"/>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975C1"/>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975C1"/>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975C1"/>
    <w:pPr>
      <w:spacing w:after="720"/>
      <w:ind w:left="1134"/>
      <w:jc w:val="both"/>
    </w:pPr>
    <w:rPr>
      <w:rFonts w:ascii="Arial" w:hAnsi="Arial"/>
      <w:sz w:val="20"/>
      <w:szCs w:val="20"/>
      <w:lang w:val="en-GB"/>
    </w:rPr>
  </w:style>
  <w:style w:type="paragraph" w:customStyle="1" w:styleId="bcverylastparaa">
    <w:name w:val="bc very last para (a)"/>
    <w:basedOn w:val="Normal"/>
    <w:rsid w:val="005975C1"/>
    <w:pPr>
      <w:spacing w:after="720"/>
      <w:ind w:left="1843" w:hanging="709"/>
      <w:jc w:val="both"/>
    </w:pPr>
    <w:rPr>
      <w:rFonts w:ascii="Arial" w:hAnsi="Arial"/>
      <w:noProof/>
      <w:sz w:val="20"/>
      <w:szCs w:val="20"/>
      <w:lang w:val="en-GB"/>
    </w:rPr>
  </w:style>
  <w:style w:type="paragraph" w:customStyle="1" w:styleId="Bllok">
    <w:name w:val="Bllok"/>
    <w:next w:val="Normal"/>
    <w:rsid w:val="005975C1"/>
    <w:pPr>
      <w:jc w:val="center"/>
    </w:pPr>
    <w:rPr>
      <w:rFonts w:ascii="CG Times" w:hAnsi="CG Times"/>
      <w:caps/>
      <w:sz w:val="22"/>
      <w:szCs w:val="22"/>
      <w:lang w:eastAsia="en-US"/>
    </w:rPr>
  </w:style>
  <w:style w:type="paragraph" w:customStyle="1" w:styleId="extraclauses">
    <w:name w:val="extra_clauses"/>
    <w:basedOn w:val="Normal"/>
    <w:rsid w:val="005975C1"/>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975C1"/>
    <w:pPr>
      <w:widowControl w:val="0"/>
      <w:outlineLvl w:val="2"/>
    </w:pPr>
    <w:rPr>
      <w:rFonts w:ascii="CG Times" w:hAnsi="CG Times"/>
      <w:sz w:val="22"/>
      <w:lang w:val="en-US" w:eastAsia="en-US"/>
    </w:rPr>
  </w:style>
  <w:style w:type="paragraph" w:customStyle="1" w:styleId="footnote">
    <w:name w:val="footnote"/>
    <w:basedOn w:val="Normal"/>
    <w:rsid w:val="005975C1"/>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975C1"/>
    <w:pPr>
      <w:keepNext/>
      <w:widowControl w:val="0"/>
      <w:jc w:val="center"/>
    </w:pPr>
    <w:rPr>
      <w:rFonts w:ascii="CG Times" w:hAnsi="CG Times"/>
      <w:caps/>
      <w:sz w:val="22"/>
      <w:szCs w:val="22"/>
      <w:lang w:eastAsia="en-US"/>
    </w:rPr>
  </w:style>
  <w:style w:type="paragraph" w:customStyle="1" w:styleId="Kapakufund">
    <w:name w:val="Kapaku_fund"/>
    <w:next w:val="Normal"/>
    <w:rsid w:val="005975C1"/>
    <w:pPr>
      <w:pageBreakBefore/>
    </w:pPr>
    <w:rPr>
      <w:rFonts w:ascii="CG Times" w:hAnsi="CG Times"/>
      <w:b/>
      <w:sz w:val="22"/>
      <w:szCs w:val="22"/>
      <w:lang w:val="en-US" w:eastAsia="en-US"/>
    </w:rPr>
  </w:style>
  <w:style w:type="paragraph" w:customStyle="1" w:styleId="KapitulliNr">
    <w:name w:val="Kapitulli_Nr"/>
    <w:rsid w:val="005975C1"/>
    <w:pPr>
      <w:keepNext/>
      <w:widowControl w:val="0"/>
      <w:jc w:val="center"/>
    </w:pPr>
    <w:rPr>
      <w:rFonts w:ascii="CG Times" w:hAnsi="CG Times"/>
      <w:caps/>
      <w:sz w:val="22"/>
      <w:szCs w:val="22"/>
      <w:lang w:eastAsia="en-US"/>
    </w:rPr>
  </w:style>
  <w:style w:type="paragraph" w:customStyle="1" w:styleId="KapitulliTitull">
    <w:name w:val="Kapitulli_Titull"/>
    <w:rsid w:val="005975C1"/>
    <w:pPr>
      <w:keepNext/>
      <w:widowControl w:val="0"/>
      <w:jc w:val="center"/>
    </w:pPr>
    <w:rPr>
      <w:rFonts w:ascii="CG Times" w:hAnsi="CG Times"/>
      <w:caps/>
      <w:sz w:val="22"/>
      <w:szCs w:val="22"/>
      <w:lang w:eastAsia="en-US"/>
    </w:rPr>
  </w:style>
  <w:style w:type="paragraph" w:customStyle="1" w:styleId="KreuNr">
    <w:name w:val="Kreu_Nr"/>
    <w:rsid w:val="005975C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975C1"/>
    <w:pPr>
      <w:keepNext/>
      <w:widowControl w:val="0"/>
      <w:jc w:val="center"/>
    </w:pPr>
    <w:rPr>
      <w:rFonts w:ascii="CG Times" w:hAnsi="CG Times"/>
      <w:caps/>
      <w:sz w:val="22"/>
      <w:szCs w:val="22"/>
      <w:lang w:val="en-US" w:eastAsia="en-US"/>
    </w:rPr>
  </w:style>
  <w:style w:type="paragraph" w:customStyle="1" w:styleId="Ndryshimet">
    <w:name w:val="Ndryshimet"/>
    <w:next w:val="Normal"/>
    <w:rsid w:val="005975C1"/>
    <w:pPr>
      <w:keepNext/>
      <w:widowControl w:val="0"/>
      <w:jc w:val="center"/>
    </w:pPr>
    <w:rPr>
      <w:rFonts w:ascii="CG Times" w:hAnsi="CG Times"/>
      <w:i/>
      <w:sz w:val="22"/>
      <w:lang w:val="en-US" w:eastAsia="en-US"/>
    </w:rPr>
  </w:style>
  <w:style w:type="paragraph" w:customStyle="1" w:styleId="NeniNr">
    <w:name w:val="Neni_Nr"/>
    <w:next w:val="Normal"/>
    <w:link w:val="NeniNrChar"/>
    <w:rsid w:val="005975C1"/>
    <w:pPr>
      <w:keepNext/>
      <w:widowControl w:val="0"/>
      <w:jc w:val="center"/>
    </w:pPr>
    <w:rPr>
      <w:rFonts w:ascii="CG Times" w:hAnsi="CG Times"/>
      <w:sz w:val="22"/>
      <w:lang w:eastAsia="en-US"/>
    </w:rPr>
  </w:style>
  <w:style w:type="paragraph" w:customStyle="1" w:styleId="NeniTitull">
    <w:name w:val="Neni_Titull"/>
    <w:next w:val="Normal"/>
    <w:link w:val="NeniTitullChar"/>
    <w:rsid w:val="005975C1"/>
    <w:pPr>
      <w:keepNext/>
      <w:widowControl w:val="0"/>
      <w:jc w:val="center"/>
      <w:outlineLvl w:val="2"/>
    </w:pPr>
    <w:rPr>
      <w:rFonts w:ascii="CG Times" w:hAnsi="CG Times"/>
      <w:b/>
      <w:sz w:val="22"/>
      <w:lang w:eastAsia="en-US"/>
    </w:rPr>
  </w:style>
  <w:style w:type="paragraph" w:customStyle="1" w:styleId="NenkreuNr">
    <w:name w:val="Nenkreu_Nr"/>
    <w:rsid w:val="005975C1"/>
    <w:pPr>
      <w:keepNext/>
      <w:widowControl w:val="0"/>
      <w:jc w:val="center"/>
    </w:pPr>
    <w:rPr>
      <w:rFonts w:ascii="CG Times" w:hAnsi="CG Times"/>
      <w:caps/>
      <w:sz w:val="22"/>
      <w:szCs w:val="22"/>
      <w:lang w:eastAsia="en-US"/>
    </w:rPr>
  </w:style>
  <w:style w:type="paragraph" w:customStyle="1" w:styleId="NenkreuTitull">
    <w:name w:val="Nenkreu_Titull"/>
    <w:rsid w:val="005975C1"/>
    <w:pPr>
      <w:jc w:val="center"/>
    </w:pPr>
    <w:rPr>
      <w:rFonts w:ascii="CG Times" w:hAnsi="CG Times"/>
      <w:caps/>
      <w:sz w:val="22"/>
      <w:szCs w:val="22"/>
      <w:lang w:eastAsia="en-US"/>
    </w:rPr>
  </w:style>
  <w:style w:type="paragraph" w:customStyle="1" w:styleId="Nenpika">
    <w:name w:val="Nenpika"/>
    <w:next w:val="Normal"/>
    <w:autoRedefine/>
    <w:rsid w:val="005975C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975C1"/>
    <w:pPr>
      <w:spacing w:after="120"/>
      <w:jc w:val="both"/>
    </w:pPr>
    <w:rPr>
      <w:rFonts w:ascii="Bookman Old Style" w:hAnsi="Bookman Old Style"/>
      <w:szCs w:val="20"/>
    </w:rPr>
  </w:style>
  <w:style w:type="paragraph" w:customStyle="1" w:styleId="numberedindent">
    <w:name w:val="numberedindent"/>
    <w:rsid w:val="005975C1"/>
    <w:pPr>
      <w:tabs>
        <w:tab w:val="num" w:pos="1800"/>
      </w:tabs>
      <w:spacing w:after="120"/>
      <w:jc w:val="both"/>
    </w:pPr>
    <w:rPr>
      <w:rFonts w:ascii="Arial" w:hAnsi="Arial"/>
      <w:lang w:eastAsia="en-US"/>
    </w:rPr>
  </w:style>
  <w:style w:type="paragraph" w:customStyle="1" w:styleId="NumriData">
    <w:name w:val="Numri_Data"/>
    <w:next w:val="Normal"/>
    <w:rsid w:val="005975C1"/>
    <w:pPr>
      <w:keepNext/>
      <w:widowControl w:val="0"/>
      <w:jc w:val="center"/>
      <w:outlineLvl w:val="0"/>
    </w:pPr>
    <w:rPr>
      <w:rFonts w:ascii="CG Times" w:hAnsi="CG Times"/>
      <w:b/>
      <w:sz w:val="22"/>
      <w:lang w:eastAsia="en-US"/>
    </w:rPr>
  </w:style>
  <w:style w:type="paragraph" w:customStyle="1" w:styleId="Paragrafi">
    <w:name w:val="Paragrafi"/>
    <w:rsid w:val="005975C1"/>
    <w:pPr>
      <w:widowControl w:val="0"/>
      <w:ind w:firstLine="720"/>
      <w:jc w:val="both"/>
    </w:pPr>
    <w:rPr>
      <w:rFonts w:ascii="CG Times" w:hAnsi="CG Times"/>
      <w:sz w:val="22"/>
      <w:lang w:val="en-US" w:eastAsia="en-US"/>
    </w:rPr>
  </w:style>
  <w:style w:type="paragraph" w:customStyle="1" w:styleId="Pika">
    <w:name w:val="Pika"/>
    <w:next w:val="Normal"/>
    <w:autoRedefine/>
    <w:rsid w:val="005975C1"/>
    <w:pPr>
      <w:ind w:firstLine="720"/>
    </w:pPr>
    <w:rPr>
      <w:rFonts w:ascii="CG Times" w:hAnsi="CG Times"/>
      <w:sz w:val="22"/>
      <w:lang w:val="en-US" w:eastAsia="en-US"/>
    </w:rPr>
  </w:style>
  <w:style w:type="paragraph" w:customStyle="1" w:styleId="PikeKreu">
    <w:name w:val="Pike_Kreu"/>
    <w:basedOn w:val="Heading1"/>
    <w:rsid w:val="005975C1"/>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975C1"/>
    <w:pPr>
      <w:keepNext/>
      <w:widowControl w:val="0"/>
      <w:jc w:val="center"/>
    </w:pPr>
    <w:rPr>
      <w:rFonts w:ascii="CG Times" w:hAnsi="CG Times"/>
      <w:caps/>
      <w:sz w:val="22"/>
      <w:szCs w:val="22"/>
      <w:lang w:eastAsia="en-US"/>
    </w:rPr>
  </w:style>
  <w:style w:type="paragraph" w:customStyle="1" w:styleId="PjesaTitull">
    <w:name w:val="Pjesa_Titull"/>
    <w:rsid w:val="005975C1"/>
    <w:pPr>
      <w:keepNext/>
      <w:widowControl w:val="0"/>
      <w:jc w:val="center"/>
    </w:pPr>
    <w:rPr>
      <w:rFonts w:ascii="CG Times" w:hAnsi="CG Times"/>
      <w:caps/>
      <w:sz w:val="22"/>
      <w:szCs w:val="22"/>
      <w:lang w:eastAsia="en-US"/>
    </w:rPr>
  </w:style>
  <w:style w:type="paragraph" w:customStyle="1" w:styleId="Shpallja">
    <w:name w:val="Shpallja"/>
    <w:rsid w:val="005975C1"/>
    <w:pPr>
      <w:widowControl w:val="0"/>
      <w:jc w:val="both"/>
    </w:pPr>
    <w:rPr>
      <w:rFonts w:ascii="CG Times" w:hAnsi="CG Times"/>
      <w:b/>
      <w:color w:val="000000"/>
      <w:sz w:val="22"/>
      <w:szCs w:val="22"/>
      <w:lang w:val="sq-AL" w:eastAsia="en-US"/>
    </w:rPr>
  </w:style>
  <w:style w:type="paragraph" w:customStyle="1" w:styleId="Tabele">
    <w:name w:val="Tabele"/>
    <w:rsid w:val="005975C1"/>
    <w:rPr>
      <w:rFonts w:ascii="CG Times" w:hAnsi="CG Times"/>
      <w:sz w:val="22"/>
      <w:lang w:eastAsia="en-US"/>
    </w:rPr>
  </w:style>
  <w:style w:type="paragraph" w:customStyle="1" w:styleId="text">
    <w:name w:val="text"/>
    <w:basedOn w:val="Normal"/>
    <w:rsid w:val="005975C1"/>
    <w:pPr>
      <w:ind w:left="709"/>
      <w:jc w:val="both"/>
    </w:pPr>
    <w:rPr>
      <w:rFonts w:ascii="Arial" w:hAnsi="Arial"/>
      <w:sz w:val="20"/>
      <w:szCs w:val="20"/>
      <w:lang w:val="fr-FR"/>
    </w:rPr>
  </w:style>
  <w:style w:type="paragraph" w:customStyle="1" w:styleId="Titulli">
    <w:name w:val="Titulli"/>
    <w:next w:val="Normal"/>
    <w:link w:val="TitulliChar"/>
    <w:rsid w:val="005975C1"/>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5975C1"/>
    <w:rPr>
      <w:rFonts w:ascii="CG Times" w:eastAsia="MS Mincho" w:hAnsi="CG Times"/>
      <w:b/>
      <w:caps/>
      <w:sz w:val="22"/>
      <w:szCs w:val="22"/>
      <w:lang w:val="en-GB" w:eastAsia="en-US" w:bidi="ar-SA"/>
    </w:rPr>
  </w:style>
  <w:style w:type="paragraph" w:customStyle="1" w:styleId="TitulliNr">
    <w:name w:val="Titulli_Nr"/>
    <w:rsid w:val="005975C1"/>
    <w:pPr>
      <w:keepNext/>
      <w:widowControl w:val="0"/>
      <w:jc w:val="center"/>
    </w:pPr>
    <w:rPr>
      <w:rFonts w:ascii="CG Times" w:hAnsi="CG Times"/>
      <w:caps/>
      <w:sz w:val="22"/>
      <w:szCs w:val="22"/>
      <w:lang w:eastAsia="en-US"/>
    </w:rPr>
  </w:style>
  <w:style w:type="paragraph" w:customStyle="1" w:styleId="TitulliTitull">
    <w:name w:val="Titulli_Titull"/>
    <w:rsid w:val="005975C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975C1"/>
    <w:pPr>
      <w:keepNext/>
      <w:widowControl w:val="0"/>
      <w:jc w:val="center"/>
    </w:pPr>
    <w:rPr>
      <w:rFonts w:ascii="CG Times" w:hAnsi="CG Times"/>
      <w:caps/>
      <w:sz w:val="22"/>
      <w:szCs w:val="22"/>
      <w:lang w:eastAsia="en-US"/>
    </w:rPr>
  </w:style>
  <w:style w:type="character" w:customStyle="1" w:styleId="NeniNrChar">
    <w:name w:val="Neni_Nr Char"/>
    <w:basedOn w:val="DefaultParagraphFont"/>
    <w:link w:val="NeniNr"/>
    <w:rsid w:val="00D3326B"/>
    <w:rPr>
      <w:rFonts w:ascii="CG Times" w:hAnsi="CG Times"/>
      <w:sz w:val="22"/>
      <w:lang w:val="en-GB" w:eastAsia="en-US" w:bidi="ar-SA"/>
    </w:rPr>
  </w:style>
  <w:style w:type="character" w:customStyle="1" w:styleId="TitulliChar">
    <w:name w:val="Titulli Char"/>
    <w:basedOn w:val="DefaultParagraphFont"/>
    <w:link w:val="Titulli"/>
    <w:rsid w:val="00D3326B"/>
    <w:rPr>
      <w:rFonts w:ascii="CG Times" w:hAnsi="CG Times"/>
      <w:b/>
      <w:caps/>
      <w:sz w:val="22"/>
      <w:szCs w:val="22"/>
      <w:lang w:val="en-GB" w:eastAsia="en-US" w:bidi="ar-SA"/>
    </w:rPr>
  </w:style>
  <w:style w:type="character" w:customStyle="1" w:styleId="VENDOSIChar">
    <w:name w:val="VENDOSI Char"/>
    <w:basedOn w:val="DefaultParagraphFont"/>
    <w:link w:val="VENDOSI"/>
    <w:rsid w:val="00D3326B"/>
    <w:rPr>
      <w:rFonts w:ascii="CG Times" w:hAnsi="CG Times"/>
      <w:caps/>
      <w:sz w:val="22"/>
      <w:szCs w:val="22"/>
      <w:lang w:val="en-GB" w:eastAsia="en-US" w:bidi="ar-SA"/>
    </w:rPr>
  </w:style>
  <w:style w:type="character" w:customStyle="1" w:styleId="NeniTitullChar">
    <w:name w:val="Neni_Titull Char"/>
    <w:basedOn w:val="DefaultParagraphFont"/>
    <w:link w:val="NeniTitull"/>
    <w:rsid w:val="00D3326B"/>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2019-03-16T15:06:00Z</dcterms:created>
  <dcterms:modified xsi:type="dcterms:W3CDTF">2019-03-16T15:06:00Z</dcterms:modified>
</cp:coreProperties>
</file>